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3B" w:rsidRPr="00967BB4" w:rsidRDefault="001E293B" w:rsidP="00967BB4">
      <w:pPr>
        <w:spacing w:after="0"/>
        <w:jc w:val="center"/>
        <w:rPr>
          <w:b/>
          <w:caps/>
          <w:sz w:val="28"/>
          <w:szCs w:val="28"/>
          <w:u w:val="single"/>
        </w:rPr>
      </w:pPr>
      <w:bookmarkStart w:id="0" w:name="_GoBack"/>
      <w:bookmarkEnd w:id="0"/>
      <w:r w:rsidRPr="00967BB4">
        <w:rPr>
          <w:b/>
          <w:caps/>
          <w:sz w:val="28"/>
          <w:szCs w:val="28"/>
          <w:u w:val="single"/>
        </w:rPr>
        <w:t>Konspekt referatu</w:t>
      </w:r>
    </w:p>
    <w:p w:rsidR="00967BB4" w:rsidRDefault="00967BB4" w:rsidP="00967BB4">
      <w:pPr>
        <w:spacing w:after="0"/>
      </w:pPr>
    </w:p>
    <w:p w:rsidR="001E293B" w:rsidRPr="00512DEE" w:rsidRDefault="001E293B" w:rsidP="00967BB4">
      <w:pPr>
        <w:spacing w:after="0"/>
      </w:pPr>
      <w:r w:rsidRPr="00512DEE">
        <w:t>Łukasz Mach, dr inż.</w:t>
      </w:r>
    </w:p>
    <w:p w:rsidR="001E293B" w:rsidRPr="00967BB4" w:rsidRDefault="001E293B" w:rsidP="00967BB4">
      <w:pPr>
        <w:spacing w:after="0"/>
      </w:pPr>
      <w:r w:rsidRPr="00967BB4">
        <w:t>Politechnika Opolska, Wydział Ekonomii i Zarządzania,</w:t>
      </w:r>
    </w:p>
    <w:p w:rsidR="001E293B" w:rsidRPr="00967BB4" w:rsidRDefault="001E293B" w:rsidP="00967BB4">
      <w:pPr>
        <w:spacing w:after="0"/>
        <w:rPr>
          <w:b/>
          <w:caps/>
          <w:sz w:val="28"/>
          <w:szCs w:val="28"/>
          <w:u w:val="single"/>
        </w:rPr>
      </w:pPr>
      <w:r w:rsidRPr="00967BB4">
        <w:t>Katedra Ekonomii,</w:t>
      </w:r>
      <w:r w:rsidR="00B87985" w:rsidRPr="00967BB4">
        <w:t xml:space="preserve"> Finansów i Badań Regionalnych</w:t>
      </w:r>
    </w:p>
    <w:p w:rsidR="001E293B" w:rsidRPr="00967BB4" w:rsidRDefault="001E293B" w:rsidP="00967BB4">
      <w:pPr>
        <w:spacing w:after="0"/>
        <w:jc w:val="center"/>
        <w:rPr>
          <w:b/>
        </w:rPr>
      </w:pPr>
    </w:p>
    <w:p w:rsidR="001E293B" w:rsidRDefault="00F77EFD" w:rsidP="00967BB4">
      <w:pPr>
        <w:spacing w:after="0"/>
        <w:jc w:val="center"/>
        <w:rPr>
          <w:b/>
          <w:sz w:val="24"/>
          <w:szCs w:val="24"/>
        </w:rPr>
      </w:pPr>
      <w:r w:rsidRPr="00967BB4">
        <w:rPr>
          <w:b/>
          <w:sz w:val="24"/>
          <w:szCs w:val="24"/>
        </w:rPr>
        <w:t xml:space="preserve">Zastosowanie </w:t>
      </w:r>
      <w:proofErr w:type="spellStart"/>
      <w:r w:rsidRPr="00967BB4">
        <w:rPr>
          <w:b/>
          <w:sz w:val="24"/>
          <w:szCs w:val="24"/>
        </w:rPr>
        <w:t>shift-share</w:t>
      </w:r>
      <w:proofErr w:type="spellEnd"/>
      <w:r w:rsidRPr="00967BB4">
        <w:rPr>
          <w:b/>
          <w:sz w:val="24"/>
          <w:szCs w:val="24"/>
        </w:rPr>
        <w:t xml:space="preserve"> </w:t>
      </w:r>
      <w:proofErr w:type="spellStart"/>
      <w:r w:rsidRPr="00967BB4">
        <w:rPr>
          <w:b/>
          <w:sz w:val="24"/>
          <w:szCs w:val="24"/>
        </w:rPr>
        <w:t>analysis</w:t>
      </w:r>
      <w:proofErr w:type="spellEnd"/>
      <w:r w:rsidRPr="00967BB4">
        <w:rPr>
          <w:b/>
          <w:sz w:val="24"/>
          <w:szCs w:val="24"/>
        </w:rPr>
        <w:t xml:space="preserve"> do przestrzenno-czasowej oceny sytuacji finansowej przedsiębiorstw branży budowlanej</w:t>
      </w:r>
    </w:p>
    <w:p w:rsidR="00967BB4" w:rsidRPr="00967BB4" w:rsidRDefault="00967BB4" w:rsidP="00967BB4">
      <w:pPr>
        <w:spacing w:after="0"/>
        <w:jc w:val="center"/>
        <w:rPr>
          <w:b/>
          <w:sz w:val="24"/>
          <w:szCs w:val="24"/>
        </w:rPr>
      </w:pPr>
    </w:p>
    <w:p w:rsidR="001E293B" w:rsidRPr="00967BB4" w:rsidRDefault="001F7F06" w:rsidP="00967BB4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hanging="284"/>
        <w:rPr>
          <w:rFonts w:eastAsia="Times New Roman" w:cs="Times New Roman"/>
          <w:b/>
          <w:color w:val="141412"/>
          <w:sz w:val="24"/>
          <w:szCs w:val="24"/>
          <w:lang w:eastAsia="pl-PL"/>
        </w:rPr>
      </w:pPr>
      <w:r w:rsidRPr="00967BB4">
        <w:rPr>
          <w:rFonts w:eastAsia="Times New Roman" w:cs="Times New Roman"/>
          <w:b/>
          <w:color w:val="141412"/>
          <w:sz w:val="24"/>
          <w:szCs w:val="24"/>
          <w:lang w:eastAsia="pl-PL"/>
        </w:rPr>
        <w:t>Określenie problemu badawczego</w:t>
      </w:r>
    </w:p>
    <w:p w:rsidR="00335D9C" w:rsidRDefault="00815898" w:rsidP="00967BB4">
      <w:pPr>
        <w:shd w:val="clear" w:color="auto" w:fill="FFFFFF"/>
        <w:spacing w:after="0"/>
        <w:jc w:val="both"/>
        <w:rPr>
          <w:rFonts w:eastAsia="Times New Roman" w:cs="Times New Roman"/>
          <w:color w:val="FF0000"/>
          <w:lang w:eastAsia="pl-PL"/>
        </w:rPr>
      </w:pPr>
      <w:r>
        <w:rPr>
          <w:rFonts w:eastAsia="Times New Roman" w:cs="Times New Roman"/>
          <w:color w:val="141412"/>
          <w:lang w:eastAsia="pl-PL"/>
        </w:rPr>
        <w:t>Przedsiębiorstwa branży budowlanej</w:t>
      </w:r>
      <w:r w:rsidR="004B0121" w:rsidRPr="00967BB4">
        <w:rPr>
          <w:rFonts w:eastAsia="Times New Roman" w:cs="Times New Roman"/>
          <w:color w:val="141412"/>
          <w:lang w:eastAsia="pl-PL"/>
        </w:rPr>
        <w:t xml:space="preserve"> działając na wysoce konkurencyjnym rynku bezpośrednio lub pośrednio wchodz</w:t>
      </w:r>
      <w:r>
        <w:rPr>
          <w:rFonts w:eastAsia="Times New Roman" w:cs="Times New Roman"/>
          <w:color w:val="141412"/>
          <w:lang w:eastAsia="pl-PL"/>
        </w:rPr>
        <w:t>ą</w:t>
      </w:r>
      <w:r w:rsidR="004B0121" w:rsidRPr="00967BB4">
        <w:rPr>
          <w:rFonts w:eastAsia="Times New Roman" w:cs="Times New Roman"/>
          <w:color w:val="141412"/>
          <w:lang w:eastAsia="pl-PL"/>
        </w:rPr>
        <w:t xml:space="preserve"> w interakcje ze zjawiskami </w:t>
      </w:r>
      <w:r w:rsidR="004B79F3">
        <w:rPr>
          <w:rFonts w:eastAsia="Times New Roman" w:cs="Times New Roman"/>
          <w:color w:val="141412"/>
          <w:lang w:eastAsia="pl-PL"/>
        </w:rPr>
        <w:t xml:space="preserve">(czynnikami) </w:t>
      </w:r>
      <w:r w:rsidR="004B0121" w:rsidRPr="00967BB4">
        <w:rPr>
          <w:rFonts w:eastAsia="Times New Roman" w:cs="Times New Roman"/>
          <w:color w:val="141412"/>
          <w:lang w:eastAsia="pl-PL"/>
        </w:rPr>
        <w:t xml:space="preserve">występującymi na nim.  Do </w:t>
      </w:r>
      <w:r w:rsidR="004B79F3">
        <w:rPr>
          <w:rFonts w:eastAsia="Times New Roman" w:cs="Times New Roman"/>
          <w:color w:val="141412"/>
          <w:lang w:eastAsia="pl-PL"/>
        </w:rPr>
        <w:t>czynników</w:t>
      </w:r>
      <w:r w:rsidR="00333C78" w:rsidRPr="00967BB4">
        <w:rPr>
          <w:rFonts w:eastAsia="Times New Roman" w:cs="Times New Roman"/>
          <w:color w:val="141412"/>
          <w:lang w:eastAsia="pl-PL"/>
        </w:rPr>
        <w:t>, które komplikują</w:t>
      </w:r>
      <w:r w:rsidR="004B0121" w:rsidRPr="00967BB4">
        <w:rPr>
          <w:rFonts w:eastAsia="Times New Roman" w:cs="Times New Roman"/>
          <w:color w:val="141412"/>
          <w:lang w:eastAsia="pl-PL"/>
        </w:rPr>
        <w:t xml:space="preserve"> działalność przedsiębiorstwa możemy zaliczyć m. in. kryzys gospodarczy, załamanie popytu czy luk</w:t>
      </w:r>
      <w:r w:rsidR="00333C78" w:rsidRPr="00967BB4">
        <w:rPr>
          <w:rFonts w:eastAsia="Times New Roman" w:cs="Times New Roman"/>
          <w:color w:val="141412"/>
          <w:lang w:eastAsia="pl-PL"/>
        </w:rPr>
        <w:t>ę</w:t>
      </w:r>
      <w:r w:rsidR="004B0121" w:rsidRPr="00967BB4">
        <w:rPr>
          <w:rFonts w:eastAsia="Times New Roman" w:cs="Times New Roman"/>
          <w:color w:val="141412"/>
          <w:lang w:eastAsia="pl-PL"/>
        </w:rPr>
        <w:t xml:space="preserve"> </w:t>
      </w:r>
      <w:r w:rsidR="00333C78" w:rsidRPr="00967BB4">
        <w:rPr>
          <w:rFonts w:eastAsia="Times New Roman" w:cs="Times New Roman"/>
          <w:color w:val="141412"/>
          <w:lang w:eastAsia="pl-PL"/>
        </w:rPr>
        <w:t>informacyjną</w:t>
      </w:r>
      <w:r w:rsidR="004B0121" w:rsidRPr="00967BB4">
        <w:rPr>
          <w:rFonts w:eastAsia="Times New Roman" w:cs="Times New Roman"/>
          <w:color w:val="141412"/>
          <w:lang w:eastAsia="pl-PL"/>
        </w:rPr>
        <w:t xml:space="preserve"> w procesach decyzyjnych. </w:t>
      </w:r>
      <w:r>
        <w:rPr>
          <w:rFonts w:eastAsia="Times New Roman" w:cs="Times New Roman"/>
          <w:color w:val="141412"/>
          <w:lang w:eastAsia="pl-PL"/>
        </w:rPr>
        <w:t xml:space="preserve">Przedsiębiorstwa te, </w:t>
      </w:r>
      <w:r w:rsidR="004B0121" w:rsidRPr="00967BB4">
        <w:rPr>
          <w:rFonts w:eastAsia="Times New Roman" w:cs="Times New Roman"/>
          <w:color w:val="141412"/>
          <w:lang w:eastAsia="pl-PL"/>
        </w:rPr>
        <w:t xml:space="preserve">aby skutecznie konkurować w swoim otoczeniu </w:t>
      </w:r>
      <w:r w:rsidR="00333C78" w:rsidRPr="00967BB4">
        <w:rPr>
          <w:rFonts w:eastAsia="Times New Roman" w:cs="Times New Roman"/>
          <w:color w:val="141412"/>
          <w:lang w:eastAsia="pl-PL"/>
        </w:rPr>
        <w:t>powinn</w:t>
      </w:r>
      <w:r>
        <w:rPr>
          <w:rFonts w:eastAsia="Times New Roman" w:cs="Times New Roman"/>
          <w:color w:val="141412"/>
          <w:lang w:eastAsia="pl-PL"/>
        </w:rPr>
        <w:t>y charakteryzować się wysoką</w:t>
      </w:r>
      <w:r w:rsidR="004B0121" w:rsidRPr="00967BB4">
        <w:rPr>
          <w:rFonts w:eastAsia="Times New Roman" w:cs="Times New Roman"/>
          <w:color w:val="141412"/>
          <w:lang w:eastAsia="pl-PL"/>
        </w:rPr>
        <w:t xml:space="preserve"> jakośc</w:t>
      </w:r>
      <w:r w:rsidR="00333C78" w:rsidRPr="00967BB4">
        <w:rPr>
          <w:rFonts w:eastAsia="Times New Roman" w:cs="Times New Roman"/>
          <w:color w:val="141412"/>
          <w:lang w:eastAsia="pl-PL"/>
        </w:rPr>
        <w:t xml:space="preserve">ią zarządzania, a więc tak skierować i wykorzystać zasoby organizacji, aby osiągnąć </w:t>
      </w:r>
      <w:r w:rsidR="004B79F3">
        <w:rPr>
          <w:rFonts w:eastAsia="Times New Roman" w:cs="Times New Roman"/>
          <w:color w:val="141412"/>
          <w:lang w:eastAsia="pl-PL"/>
        </w:rPr>
        <w:t>swoje c</w:t>
      </w:r>
      <w:r w:rsidR="00333C78" w:rsidRPr="00967BB4">
        <w:rPr>
          <w:rFonts w:eastAsia="Times New Roman" w:cs="Times New Roman"/>
          <w:color w:val="141412"/>
          <w:lang w:eastAsia="pl-PL"/>
        </w:rPr>
        <w:t>ele w sposób sp</w:t>
      </w:r>
      <w:r w:rsidR="004B79F3">
        <w:rPr>
          <w:rFonts w:eastAsia="Times New Roman" w:cs="Times New Roman"/>
          <w:color w:val="141412"/>
          <w:lang w:eastAsia="pl-PL"/>
        </w:rPr>
        <w:t>rawny i skuteczny</w:t>
      </w:r>
      <w:r w:rsidR="004539CD">
        <w:rPr>
          <w:rFonts w:eastAsia="Times New Roman" w:cs="Times New Roman"/>
          <w:color w:val="141412"/>
          <w:lang w:eastAsia="pl-PL"/>
        </w:rPr>
        <w:t xml:space="preserve">. </w:t>
      </w:r>
      <w:r w:rsidR="00333C78" w:rsidRPr="00967BB4">
        <w:rPr>
          <w:rFonts w:eastAsia="Times New Roman" w:cs="Times New Roman"/>
          <w:color w:val="141412"/>
          <w:lang w:eastAsia="pl-PL"/>
        </w:rPr>
        <w:t xml:space="preserve">Do kluczowych zasobów </w:t>
      </w:r>
      <w:r>
        <w:rPr>
          <w:rFonts w:eastAsia="Times New Roman" w:cs="Times New Roman"/>
          <w:color w:val="141412"/>
          <w:lang w:eastAsia="pl-PL"/>
        </w:rPr>
        <w:t>przedsiębiorstw branży budowlanej, możemy zalicz</w:t>
      </w:r>
      <w:r w:rsidR="00333C78" w:rsidRPr="00967BB4">
        <w:rPr>
          <w:rFonts w:eastAsia="Times New Roman" w:cs="Times New Roman"/>
          <w:color w:val="141412"/>
          <w:lang w:eastAsia="pl-PL"/>
        </w:rPr>
        <w:t>y</w:t>
      </w:r>
      <w:r>
        <w:rPr>
          <w:rFonts w:eastAsia="Times New Roman" w:cs="Times New Roman"/>
          <w:color w:val="141412"/>
          <w:lang w:eastAsia="pl-PL"/>
        </w:rPr>
        <w:t>ć</w:t>
      </w:r>
      <w:r w:rsidR="00333C78" w:rsidRPr="00967BB4">
        <w:rPr>
          <w:rFonts w:eastAsia="Times New Roman" w:cs="Times New Roman"/>
          <w:color w:val="141412"/>
          <w:lang w:eastAsia="pl-PL"/>
        </w:rPr>
        <w:t xml:space="preserve"> zasoby finansowe, zarządzanie którymi </w:t>
      </w:r>
      <w:r w:rsidR="007A16C0" w:rsidRPr="00967BB4">
        <w:rPr>
          <w:rFonts w:eastAsia="Times New Roman" w:cs="Times New Roman"/>
          <w:color w:val="141412"/>
          <w:lang w:eastAsia="pl-PL"/>
        </w:rPr>
        <w:t xml:space="preserve">ma na celu maksymalizację wartości przedsiębiorstwa oraz zapewnienie regularnego napływu funduszy w odpowiedniej wysokości, zapewnienie ich optymalnego wykorzystania, zapewnienie bezpieczeństwa inwestycji czy zaplanowanie </w:t>
      </w:r>
      <w:r w:rsidR="00BF13D1">
        <w:rPr>
          <w:rFonts w:eastAsia="Times New Roman" w:cs="Times New Roman"/>
          <w:color w:val="141412"/>
          <w:lang w:eastAsia="pl-PL"/>
        </w:rPr>
        <w:t>odpowiedniej</w:t>
      </w:r>
      <w:r w:rsidR="007A16C0" w:rsidRPr="00967BB4">
        <w:rPr>
          <w:rFonts w:eastAsia="Times New Roman" w:cs="Times New Roman"/>
          <w:color w:val="141412"/>
          <w:lang w:eastAsia="pl-PL"/>
        </w:rPr>
        <w:t xml:space="preserve"> struktury kapitału przedsiębiorstwa.  Systematyczne badanie finansów przedsiębiorstw</w:t>
      </w:r>
      <w:r w:rsidR="007A16C0" w:rsidRPr="00967BB4">
        <w:rPr>
          <w:rFonts w:eastAsia="Times New Roman" w:cs="Times New Roman"/>
          <w:lang w:eastAsia="pl-PL"/>
        </w:rPr>
        <w:t xml:space="preserve"> </w:t>
      </w:r>
      <w:r w:rsidR="004B79F3">
        <w:rPr>
          <w:rFonts w:eastAsia="Times New Roman" w:cs="Times New Roman"/>
          <w:lang w:eastAsia="pl-PL"/>
        </w:rPr>
        <w:t xml:space="preserve">oraz dbanie o  odpowiednią </w:t>
      </w:r>
      <w:r>
        <w:rPr>
          <w:rFonts w:eastAsia="Times New Roman" w:cs="Times New Roman"/>
          <w:lang w:eastAsia="pl-PL"/>
        </w:rPr>
        <w:t xml:space="preserve">ich </w:t>
      </w:r>
      <w:r w:rsidR="004B79F3">
        <w:rPr>
          <w:rFonts w:eastAsia="Times New Roman" w:cs="Times New Roman"/>
          <w:lang w:eastAsia="pl-PL"/>
        </w:rPr>
        <w:t>strukturę</w:t>
      </w:r>
      <w:r w:rsidR="00BF13D1">
        <w:rPr>
          <w:rFonts w:eastAsia="Times New Roman" w:cs="Times New Roman"/>
          <w:lang w:eastAsia="pl-PL"/>
        </w:rPr>
        <w:t xml:space="preserve"> jest podstawą zdobycia przewagi </w:t>
      </w:r>
      <w:r>
        <w:rPr>
          <w:rFonts w:eastAsia="Times New Roman" w:cs="Times New Roman"/>
          <w:lang w:eastAsia="pl-PL"/>
        </w:rPr>
        <w:t xml:space="preserve">rynkowej. Przewagę rynkową przedsiębiorstw branży budowlanej, możemy rozpatrywać z punktu widzenia jednego przedsiębiorstwa jak również rynków regionalnych czy globalnych. </w:t>
      </w:r>
    </w:p>
    <w:p w:rsidR="00AD3D32" w:rsidRPr="00967BB4" w:rsidRDefault="00AD3D32" w:rsidP="00967BB4">
      <w:pPr>
        <w:shd w:val="clear" w:color="auto" w:fill="FFFFFF"/>
        <w:spacing w:after="0"/>
        <w:jc w:val="both"/>
        <w:rPr>
          <w:rFonts w:eastAsia="Times New Roman" w:cs="Times New Roman"/>
          <w:color w:val="141412"/>
          <w:lang w:eastAsia="pl-PL"/>
        </w:rPr>
      </w:pPr>
    </w:p>
    <w:p w:rsidR="001E293B" w:rsidRPr="00967BB4" w:rsidRDefault="001F7F06" w:rsidP="00967BB4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hanging="294"/>
        <w:rPr>
          <w:rFonts w:eastAsia="Times New Roman" w:cs="Times New Roman"/>
          <w:b/>
          <w:color w:val="141412"/>
          <w:sz w:val="24"/>
          <w:szCs w:val="24"/>
          <w:lang w:eastAsia="pl-PL"/>
        </w:rPr>
      </w:pPr>
      <w:r w:rsidRPr="00967BB4">
        <w:rPr>
          <w:rFonts w:eastAsia="Times New Roman" w:cs="Times New Roman"/>
          <w:b/>
          <w:color w:val="141412"/>
          <w:sz w:val="24"/>
          <w:szCs w:val="24"/>
          <w:lang w:eastAsia="pl-PL"/>
        </w:rPr>
        <w:t>S</w:t>
      </w:r>
      <w:r w:rsidR="001E293B" w:rsidRPr="00967BB4">
        <w:rPr>
          <w:rFonts w:eastAsia="Times New Roman" w:cs="Times New Roman"/>
          <w:b/>
          <w:color w:val="141412"/>
          <w:sz w:val="24"/>
          <w:szCs w:val="24"/>
          <w:lang w:eastAsia="pl-PL"/>
        </w:rPr>
        <w:t>formułowanie celu badań:</w:t>
      </w:r>
    </w:p>
    <w:p w:rsidR="001E293B" w:rsidRDefault="001E293B" w:rsidP="00967BB4">
      <w:pPr>
        <w:spacing w:after="0"/>
        <w:jc w:val="both"/>
      </w:pPr>
      <w:r w:rsidRPr="00967BB4">
        <w:t xml:space="preserve">Celem przeprowadzonych badań jest próba określenia regionalnych potencjałów rozwoju przedsiębiorstw branży budowlanej, z uwzględnieniem ich </w:t>
      </w:r>
      <w:r w:rsidR="00FE38F8">
        <w:t>struktury finansów</w:t>
      </w:r>
      <w:r w:rsidRPr="00967BB4">
        <w:t xml:space="preserve">. Jako narzędzie inżynierii obliczeniowej, wykorzystane do określenia potencjałów rozwoju, </w:t>
      </w:r>
      <w:r w:rsidR="00335D9C" w:rsidRPr="00967BB4">
        <w:t>zastosowano</w:t>
      </w:r>
      <w:r w:rsidRPr="00967BB4">
        <w:t xml:space="preserve"> analizę przesunięć udziałów</w:t>
      </w:r>
      <w:r w:rsidR="00FE38F8">
        <w:t xml:space="preserve"> </w:t>
      </w:r>
      <w:r w:rsidR="00335D9C" w:rsidRPr="00967BB4">
        <w:t>(SSA</w:t>
      </w:r>
      <w:r w:rsidR="00335D9C" w:rsidRPr="00967BB4">
        <w:rPr>
          <w:rStyle w:val="Odwoanieprzypisudolnego"/>
        </w:rPr>
        <w:footnoteReference w:id="1"/>
      </w:r>
      <w:r w:rsidR="00335D9C" w:rsidRPr="00967BB4">
        <w:t>)</w:t>
      </w:r>
      <w:r w:rsidRPr="00967BB4">
        <w:t xml:space="preserve">. </w:t>
      </w:r>
      <w:r w:rsidR="00D169FA">
        <w:t>U</w:t>
      </w:r>
      <w:r w:rsidR="00D169FA" w:rsidRPr="00967BB4">
        <w:t>życie</w:t>
      </w:r>
      <w:r w:rsidRPr="00967BB4">
        <w:t xml:space="preserve"> analizy </w:t>
      </w:r>
      <w:proofErr w:type="spellStart"/>
      <w:r w:rsidRPr="00967BB4">
        <w:t>Shift-share</w:t>
      </w:r>
      <w:proofErr w:type="spellEnd"/>
      <w:r w:rsidRPr="00967BB4">
        <w:t xml:space="preserve"> miało na celu zbadanie zmian jakie zachodzą w przestrzenni geograficznej, w określonym przedziale czasu. Zastosowanie analizy przesunięć udziałów, pozwoli na zbadanie i ocenę poziomu rozwoju danego regionu na tle poziomu rozwoju referencyjnego, ze szczególnym uwzględnieniem finansów badanych przedsiębiorstw. Przeprowadzone badania pozwolą na wskazanie zmian w strukturze finansów przedsiębiorstw </w:t>
      </w:r>
      <w:r w:rsidR="00BF13D1">
        <w:t xml:space="preserve">branży budowlanej </w:t>
      </w:r>
      <w:r w:rsidRPr="00967BB4">
        <w:t xml:space="preserve">ze szczególnym uwzględnieniem </w:t>
      </w:r>
      <w:r w:rsidR="00BF13D1">
        <w:t xml:space="preserve">elementów składowych wyniku finansowego, tj. </w:t>
      </w:r>
      <w:r w:rsidRPr="00967BB4">
        <w:t>pr</w:t>
      </w:r>
      <w:r w:rsidR="00D169FA">
        <w:t>zychodów</w:t>
      </w:r>
      <w:r w:rsidR="004539CD">
        <w:t xml:space="preserve"> z całokształtu działalności</w:t>
      </w:r>
      <w:r w:rsidR="00D169FA">
        <w:t xml:space="preserve">, kosztów </w:t>
      </w:r>
      <w:r w:rsidR="004539CD">
        <w:t xml:space="preserve">z całokształtu działalności </w:t>
      </w:r>
      <w:r w:rsidR="00D169FA">
        <w:t>oraz zapasów.</w:t>
      </w:r>
    </w:p>
    <w:p w:rsidR="00AD3D32" w:rsidRPr="00967BB4" w:rsidRDefault="00AD3D32" w:rsidP="00967BB4">
      <w:pPr>
        <w:spacing w:after="0"/>
        <w:jc w:val="both"/>
      </w:pPr>
    </w:p>
    <w:p w:rsidR="001F7F06" w:rsidRPr="00967BB4" w:rsidRDefault="001F7F06" w:rsidP="00967BB4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hanging="284"/>
        <w:rPr>
          <w:rFonts w:eastAsia="Times New Roman" w:cs="Times New Roman"/>
          <w:b/>
          <w:color w:val="141412"/>
          <w:sz w:val="24"/>
          <w:szCs w:val="24"/>
          <w:lang w:eastAsia="pl-PL"/>
        </w:rPr>
      </w:pPr>
      <w:r w:rsidRPr="00967BB4">
        <w:rPr>
          <w:rFonts w:eastAsia="Times New Roman" w:cs="Times New Roman"/>
          <w:b/>
          <w:color w:val="141412"/>
          <w:sz w:val="24"/>
          <w:szCs w:val="24"/>
          <w:lang w:eastAsia="pl-PL"/>
        </w:rPr>
        <w:t>Opis metodologii</w:t>
      </w:r>
    </w:p>
    <w:p w:rsidR="001F7F06" w:rsidRDefault="00DC7166" w:rsidP="00967BB4">
      <w:pPr>
        <w:spacing w:after="0"/>
        <w:jc w:val="both"/>
        <w:rPr>
          <w:rStyle w:val="Styl3"/>
          <w:rFonts w:asciiTheme="minorHAnsi" w:hAnsiTheme="minorHAnsi"/>
        </w:rPr>
      </w:pPr>
      <w:r w:rsidRPr="00967BB4">
        <w:rPr>
          <w:color w:val="141823"/>
          <w:shd w:val="clear" w:color="auto" w:fill="FFFFFF"/>
        </w:rPr>
        <w:t>Określenie potencjałów rozwojowych przeprowadzono w ujęciu statycznym oraz dynamiki zmian, wyznaczając indywidualne oraz przeciętne tempa wzrostu dla województw</w:t>
      </w:r>
      <w:r w:rsidR="004539CD">
        <w:rPr>
          <w:color w:val="141823"/>
          <w:shd w:val="clear" w:color="auto" w:fill="FFFFFF"/>
        </w:rPr>
        <w:t xml:space="preserve"> (tempa wzrostu ważone regionami) </w:t>
      </w:r>
      <w:r w:rsidRPr="00967BB4">
        <w:rPr>
          <w:color w:val="141823"/>
          <w:shd w:val="clear" w:color="auto" w:fill="FFFFFF"/>
        </w:rPr>
        <w:t xml:space="preserve"> oraz sektorów</w:t>
      </w:r>
      <w:r w:rsidR="004539CD">
        <w:rPr>
          <w:color w:val="141823"/>
          <w:shd w:val="clear" w:color="auto" w:fill="FFFFFF"/>
        </w:rPr>
        <w:t xml:space="preserve"> (tempa wzrostu ważone sektorami)</w:t>
      </w:r>
      <w:r w:rsidRPr="00967BB4">
        <w:rPr>
          <w:color w:val="141823"/>
          <w:shd w:val="clear" w:color="auto" w:fill="FFFFFF"/>
        </w:rPr>
        <w:t xml:space="preserve">, jak również wyznaczono całkowite, strukturalne oraz geograficzne efekty zmian. Obliczeń całkowitych, strukturalnych oraz </w:t>
      </w:r>
      <w:r w:rsidRPr="00967BB4">
        <w:rPr>
          <w:color w:val="141823"/>
          <w:shd w:val="clear" w:color="auto" w:fill="FFFFFF"/>
        </w:rPr>
        <w:lastRenderedPageBreak/>
        <w:t xml:space="preserve">geograficznych efektów zamian dokonano z wykorzystaniem analizy </w:t>
      </w:r>
      <w:proofErr w:type="spellStart"/>
      <w:r w:rsidRPr="00967BB4">
        <w:rPr>
          <w:i/>
          <w:color w:val="141823"/>
          <w:shd w:val="clear" w:color="auto" w:fill="FFFFFF"/>
        </w:rPr>
        <w:t>shift-share</w:t>
      </w:r>
      <w:proofErr w:type="spellEnd"/>
      <w:r w:rsidR="004539CD">
        <w:rPr>
          <w:i/>
          <w:color w:val="141823"/>
          <w:shd w:val="clear" w:color="auto" w:fill="FFFFFF"/>
        </w:rPr>
        <w:t>.</w:t>
      </w:r>
      <w:r w:rsidRPr="00967BB4">
        <w:rPr>
          <w:rStyle w:val="Styl3"/>
          <w:rFonts w:asciiTheme="minorHAnsi" w:hAnsiTheme="minorHAnsi"/>
        </w:rPr>
        <w:t xml:space="preserve"> Zdefiniowanie i analiza regionalnych potencjałów rozwojowych branży budowlanej pozwoli na pokazanie tej branży w wymiarze strukturalno-przestrzennym, z jednoczesnym wskazaniem silnych i słabych stron badanych regionów. Szczegółowa metodologia obliczeń została opisana w rozdziale 6.1 pod nazwą Klasyczna metoda przesunięć udziałów (SSA) w pracy pod redakcją B. Suchecki </w:t>
      </w:r>
      <w:r w:rsidRPr="00BF13D1">
        <w:rPr>
          <w:rStyle w:val="Styl3"/>
          <w:rFonts w:asciiTheme="minorHAnsi" w:hAnsiTheme="minorHAnsi"/>
          <w:i/>
        </w:rPr>
        <w:t>Ekonometria przestrzenna</w:t>
      </w:r>
      <w:r w:rsidRPr="00967BB4">
        <w:rPr>
          <w:rStyle w:val="Styl3"/>
          <w:rFonts w:asciiTheme="minorHAnsi" w:hAnsiTheme="minorHAnsi"/>
        </w:rPr>
        <w:t xml:space="preserve">. </w:t>
      </w:r>
      <w:r w:rsidRPr="00BF13D1">
        <w:rPr>
          <w:rStyle w:val="Styl3"/>
          <w:rFonts w:asciiTheme="minorHAnsi" w:hAnsiTheme="minorHAnsi"/>
          <w:i/>
        </w:rPr>
        <w:t>Metody i modele analizy danych przestrzennych</w:t>
      </w:r>
      <w:r w:rsidR="004539CD">
        <w:rPr>
          <w:rStyle w:val="Odwoanieprzypisudolnego"/>
          <w:i/>
        </w:rPr>
        <w:footnoteReference w:id="2"/>
      </w:r>
      <w:r w:rsidRPr="00967BB4">
        <w:rPr>
          <w:rStyle w:val="Styl3"/>
          <w:rFonts w:asciiTheme="minorHAnsi" w:hAnsiTheme="minorHAnsi"/>
        </w:rPr>
        <w:t>.</w:t>
      </w:r>
    </w:p>
    <w:p w:rsidR="00AD3D32" w:rsidRPr="00967BB4" w:rsidRDefault="00AD3D32" w:rsidP="00967BB4">
      <w:pPr>
        <w:spacing w:after="0"/>
        <w:jc w:val="both"/>
        <w:rPr>
          <w:rFonts w:eastAsia="Times New Roman" w:cs="Times New Roman"/>
          <w:b/>
          <w:color w:val="141412"/>
          <w:lang w:eastAsia="pl-PL"/>
        </w:rPr>
      </w:pPr>
    </w:p>
    <w:p w:rsidR="001E293B" w:rsidRPr="00967BB4" w:rsidRDefault="00405ACB" w:rsidP="00967BB4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hanging="266"/>
        <w:rPr>
          <w:rFonts w:eastAsia="Times New Roman" w:cs="Times New Roman"/>
          <w:b/>
          <w:color w:val="141412"/>
          <w:sz w:val="24"/>
          <w:szCs w:val="24"/>
          <w:lang w:eastAsia="pl-PL"/>
        </w:rPr>
      </w:pPr>
      <w:r w:rsidRPr="00967BB4">
        <w:rPr>
          <w:rFonts w:eastAsia="Times New Roman" w:cs="Times New Roman"/>
          <w:b/>
          <w:color w:val="141412"/>
          <w:sz w:val="24"/>
          <w:szCs w:val="24"/>
          <w:lang w:eastAsia="pl-PL"/>
        </w:rPr>
        <w:t>Wyniki / dyskusja wyników</w:t>
      </w:r>
    </w:p>
    <w:p w:rsidR="00213E26" w:rsidRDefault="009748C4" w:rsidP="00967BB4">
      <w:pPr>
        <w:shd w:val="clear" w:color="auto" w:fill="FFFFFF"/>
        <w:spacing w:after="0"/>
        <w:jc w:val="both"/>
        <w:rPr>
          <w:rStyle w:val="Styl3"/>
          <w:rFonts w:asciiTheme="minorHAnsi" w:hAnsiTheme="minorHAnsi"/>
        </w:rPr>
      </w:pPr>
      <w:r w:rsidRPr="00967BB4">
        <w:rPr>
          <w:rStyle w:val="Styl3"/>
          <w:rFonts w:asciiTheme="minorHAnsi" w:hAnsiTheme="minorHAnsi"/>
        </w:rPr>
        <w:t xml:space="preserve">Badając strukturę finansów przedsiębiorstw </w:t>
      </w:r>
      <w:r w:rsidR="00DD7AAB">
        <w:rPr>
          <w:rStyle w:val="Styl3"/>
          <w:rFonts w:asciiTheme="minorHAnsi" w:hAnsiTheme="minorHAnsi"/>
        </w:rPr>
        <w:t xml:space="preserve">branży budowlanej, </w:t>
      </w:r>
      <w:r w:rsidRPr="00967BB4">
        <w:rPr>
          <w:rStyle w:val="Styl3"/>
          <w:rFonts w:asciiTheme="minorHAnsi" w:hAnsiTheme="minorHAnsi"/>
        </w:rPr>
        <w:t xml:space="preserve">w pierwszej kolejności zebrano dane </w:t>
      </w:r>
      <w:r w:rsidR="0092115F">
        <w:rPr>
          <w:rStyle w:val="Styl3"/>
          <w:rFonts w:asciiTheme="minorHAnsi" w:hAnsiTheme="minorHAnsi"/>
        </w:rPr>
        <w:t xml:space="preserve">zastane </w:t>
      </w:r>
      <w:r w:rsidRPr="00967BB4">
        <w:rPr>
          <w:rStyle w:val="Styl3"/>
          <w:rFonts w:asciiTheme="minorHAnsi" w:hAnsiTheme="minorHAnsi"/>
        </w:rPr>
        <w:t>wykorzystane</w:t>
      </w:r>
      <w:r w:rsidR="00DD7AAB">
        <w:rPr>
          <w:rStyle w:val="Styl3"/>
          <w:rFonts w:asciiTheme="minorHAnsi" w:hAnsiTheme="minorHAnsi"/>
        </w:rPr>
        <w:t xml:space="preserve"> do obliczeń</w:t>
      </w:r>
      <w:r w:rsidRPr="00967BB4">
        <w:rPr>
          <w:rStyle w:val="Styl3"/>
          <w:rFonts w:asciiTheme="minorHAnsi" w:hAnsiTheme="minorHAnsi"/>
        </w:rPr>
        <w:t xml:space="preserve">. Dane pozyskano w baz danych Głównego Urzędu Statystycznego z </w:t>
      </w:r>
      <w:r w:rsidR="00067656">
        <w:rPr>
          <w:rStyle w:val="Styl3"/>
          <w:rFonts w:asciiTheme="minorHAnsi" w:hAnsiTheme="minorHAnsi"/>
        </w:rPr>
        <w:t>zakresu czasowego lat</w:t>
      </w:r>
      <w:r w:rsidRPr="00967BB4">
        <w:rPr>
          <w:rStyle w:val="Styl3"/>
          <w:rFonts w:asciiTheme="minorHAnsi" w:hAnsiTheme="minorHAnsi"/>
        </w:rPr>
        <w:t xml:space="preserve"> 2008-2014. Z uwagi na zakres gromadzonych danych zebrano oraz przeanalizowano wybrane dane dotyczące finansów przedsiębiorstw dostępne w kategorii </w:t>
      </w:r>
      <w:r w:rsidR="00CA688D">
        <w:rPr>
          <w:rStyle w:val="Styl3"/>
          <w:rFonts w:asciiTheme="minorHAnsi" w:hAnsiTheme="minorHAnsi"/>
          <w:i/>
        </w:rPr>
        <w:t>W</w:t>
      </w:r>
      <w:r w:rsidRPr="00DD7AAB">
        <w:rPr>
          <w:rStyle w:val="Styl3"/>
          <w:rFonts w:asciiTheme="minorHAnsi" w:hAnsiTheme="minorHAnsi"/>
          <w:i/>
        </w:rPr>
        <w:t>yniki finansowe przedsiębiorstw wg PKD 2007</w:t>
      </w:r>
      <w:r w:rsidR="00DD7AAB">
        <w:rPr>
          <w:rStyle w:val="Odwoanieprzypisudolnego"/>
          <w:i/>
        </w:rPr>
        <w:footnoteReference w:id="3"/>
      </w:r>
      <w:r w:rsidRPr="00967BB4">
        <w:rPr>
          <w:rStyle w:val="Styl3"/>
          <w:rFonts w:asciiTheme="minorHAnsi" w:hAnsiTheme="minorHAnsi"/>
        </w:rPr>
        <w:t xml:space="preserve">.  Gromadząc dane dotyczące finansów, uwzględniono </w:t>
      </w:r>
      <w:r w:rsidR="00213E26" w:rsidRPr="00967BB4">
        <w:rPr>
          <w:rStyle w:val="Styl3"/>
          <w:rFonts w:asciiTheme="minorHAnsi" w:hAnsiTheme="minorHAnsi"/>
        </w:rPr>
        <w:t xml:space="preserve">trzy kategorie danych tj. </w:t>
      </w:r>
      <w:r w:rsidRPr="00967BB4">
        <w:rPr>
          <w:rStyle w:val="Styl3"/>
          <w:rFonts w:asciiTheme="minorHAnsi" w:hAnsiTheme="minorHAnsi"/>
        </w:rPr>
        <w:t>przychody z całokształtu działalności</w:t>
      </w:r>
      <w:r w:rsidR="00213E26" w:rsidRPr="00967BB4">
        <w:rPr>
          <w:rStyle w:val="Styl3"/>
          <w:rFonts w:asciiTheme="minorHAnsi" w:hAnsiTheme="minorHAnsi"/>
        </w:rPr>
        <w:t xml:space="preserve"> (patrz podpunkt </w:t>
      </w:r>
      <w:r w:rsidR="00D169FA">
        <w:rPr>
          <w:rStyle w:val="Styl3"/>
          <w:rFonts w:asciiTheme="minorHAnsi" w:hAnsiTheme="minorHAnsi"/>
        </w:rPr>
        <w:t>I</w:t>
      </w:r>
      <w:r w:rsidR="00213E26" w:rsidRPr="00967BB4">
        <w:rPr>
          <w:rStyle w:val="Styl3"/>
          <w:rFonts w:asciiTheme="minorHAnsi" w:hAnsiTheme="minorHAnsi"/>
        </w:rPr>
        <w:t>V.I)</w:t>
      </w:r>
      <w:r w:rsidRPr="00967BB4">
        <w:rPr>
          <w:rStyle w:val="Styl3"/>
          <w:rFonts w:asciiTheme="minorHAnsi" w:hAnsiTheme="minorHAnsi"/>
        </w:rPr>
        <w:t>, koszty uzyskania przychodu z całokształtu działalności</w:t>
      </w:r>
      <w:r w:rsidR="00213E26" w:rsidRPr="00967BB4">
        <w:rPr>
          <w:rStyle w:val="Styl3"/>
          <w:rFonts w:asciiTheme="minorHAnsi" w:hAnsiTheme="minorHAnsi"/>
        </w:rPr>
        <w:t xml:space="preserve"> (patrz pad. </w:t>
      </w:r>
      <w:r w:rsidR="00D169FA">
        <w:rPr>
          <w:rStyle w:val="Styl3"/>
          <w:rFonts w:asciiTheme="minorHAnsi" w:hAnsiTheme="minorHAnsi"/>
        </w:rPr>
        <w:t>I</w:t>
      </w:r>
      <w:r w:rsidR="00213E26" w:rsidRPr="00967BB4">
        <w:rPr>
          <w:rStyle w:val="Styl3"/>
          <w:rFonts w:asciiTheme="minorHAnsi" w:hAnsiTheme="minorHAnsi"/>
        </w:rPr>
        <w:t xml:space="preserve">V.II) oraz dane o zapasach (patrz pod. </w:t>
      </w:r>
      <w:r w:rsidR="00D169FA">
        <w:rPr>
          <w:rStyle w:val="Styl3"/>
          <w:rFonts w:asciiTheme="minorHAnsi" w:hAnsiTheme="minorHAnsi"/>
        </w:rPr>
        <w:t>I</w:t>
      </w:r>
      <w:r w:rsidR="00213E26" w:rsidRPr="00967BB4">
        <w:rPr>
          <w:rStyle w:val="Styl3"/>
          <w:rFonts w:asciiTheme="minorHAnsi" w:hAnsiTheme="minorHAnsi"/>
        </w:rPr>
        <w:t xml:space="preserve">V.III). Każda z trzech wymienionych kategorii danych została </w:t>
      </w:r>
      <w:r w:rsidR="00DD7AAB">
        <w:rPr>
          <w:rStyle w:val="Styl3"/>
          <w:rFonts w:asciiTheme="minorHAnsi" w:hAnsiTheme="minorHAnsi"/>
        </w:rPr>
        <w:t>poddana analizie ogólnej</w:t>
      </w:r>
      <w:r w:rsidR="00213E26" w:rsidRPr="00967BB4">
        <w:rPr>
          <w:rStyle w:val="Styl3"/>
          <w:rFonts w:asciiTheme="minorHAnsi" w:hAnsiTheme="minorHAnsi"/>
        </w:rPr>
        <w:t>, jak również</w:t>
      </w:r>
      <w:r w:rsidR="00FE38F8">
        <w:rPr>
          <w:rStyle w:val="Styl3"/>
          <w:rFonts w:asciiTheme="minorHAnsi" w:hAnsiTheme="minorHAnsi"/>
        </w:rPr>
        <w:t xml:space="preserve"> analizie</w:t>
      </w:r>
      <w:r w:rsidR="00213E26" w:rsidRPr="00967BB4">
        <w:rPr>
          <w:rStyle w:val="Styl3"/>
          <w:rFonts w:asciiTheme="minorHAnsi" w:hAnsiTheme="minorHAnsi"/>
        </w:rPr>
        <w:t xml:space="preserve"> w </w:t>
      </w:r>
      <w:r w:rsidR="00DD7AAB">
        <w:rPr>
          <w:rStyle w:val="Styl3"/>
          <w:rFonts w:asciiTheme="minorHAnsi" w:hAnsiTheme="minorHAnsi"/>
        </w:rPr>
        <w:t>podziale</w:t>
      </w:r>
      <w:r w:rsidR="00213E26" w:rsidRPr="00967BB4">
        <w:rPr>
          <w:rStyle w:val="Styl3"/>
          <w:rFonts w:asciiTheme="minorHAnsi" w:hAnsiTheme="minorHAnsi"/>
        </w:rPr>
        <w:t xml:space="preserve"> strukturalnym.</w:t>
      </w:r>
    </w:p>
    <w:p w:rsidR="00AD3D32" w:rsidRPr="00967BB4" w:rsidRDefault="00AD3D32" w:rsidP="00967BB4">
      <w:pPr>
        <w:shd w:val="clear" w:color="auto" w:fill="FFFFFF"/>
        <w:spacing w:after="0"/>
        <w:jc w:val="both"/>
        <w:rPr>
          <w:rStyle w:val="Styl3"/>
          <w:rFonts w:asciiTheme="minorHAnsi" w:hAnsiTheme="minorHAnsi"/>
        </w:rPr>
      </w:pPr>
    </w:p>
    <w:p w:rsidR="001F7F06" w:rsidRPr="00967BB4" w:rsidRDefault="00D169FA" w:rsidP="00967BB4">
      <w:pPr>
        <w:shd w:val="clear" w:color="auto" w:fill="FFFFFF"/>
        <w:spacing w:after="0"/>
      </w:pPr>
      <w:r>
        <w:rPr>
          <w:b/>
        </w:rPr>
        <w:t>I</w:t>
      </w:r>
      <w:r w:rsidR="003534FC" w:rsidRPr="00967BB4">
        <w:rPr>
          <w:b/>
        </w:rPr>
        <w:t xml:space="preserve">V.I. </w:t>
      </w:r>
      <w:r w:rsidR="00D57A6F" w:rsidRPr="00967BB4">
        <w:rPr>
          <w:b/>
        </w:rPr>
        <w:t>Przychody z całokształtu działalności</w:t>
      </w:r>
    </w:p>
    <w:p w:rsidR="00213E26" w:rsidRPr="00967BB4" w:rsidRDefault="00213E26" w:rsidP="00067656">
      <w:pPr>
        <w:shd w:val="clear" w:color="auto" w:fill="FFFFFF"/>
        <w:spacing w:after="0"/>
        <w:jc w:val="both"/>
      </w:pPr>
      <w:r w:rsidRPr="00967BB4">
        <w:t xml:space="preserve">Badając zmiany zachodzące w kategorii przychody z całokształtu działalności, dokonano ogólnej charakterystyki </w:t>
      </w:r>
      <w:r w:rsidR="000540D7">
        <w:t>badanej</w:t>
      </w:r>
      <w:r w:rsidRPr="00967BB4">
        <w:t xml:space="preserve"> kategorii</w:t>
      </w:r>
      <w:r w:rsidR="00067656">
        <w:t xml:space="preserve"> (obliczając dynamiki zmian)</w:t>
      </w:r>
      <w:r w:rsidRPr="00967BB4">
        <w:t xml:space="preserve"> oraz przeanalizowano  jej składowe</w:t>
      </w:r>
      <w:r w:rsidR="00067656">
        <w:t xml:space="preserve"> (wykorzystując analizę </w:t>
      </w:r>
      <w:proofErr w:type="spellStart"/>
      <w:r w:rsidR="00067656">
        <w:t>Shift-share</w:t>
      </w:r>
      <w:proofErr w:type="spellEnd"/>
      <w:r w:rsidR="00067656">
        <w:t>)</w:t>
      </w:r>
      <w:r w:rsidRPr="00967BB4">
        <w:t xml:space="preserve"> w postaci:</w:t>
      </w:r>
    </w:p>
    <w:p w:rsidR="001F7F06" w:rsidRPr="00967BB4" w:rsidRDefault="00D57A6F" w:rsidP="00067656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 xml:space="preserve">przychody ze sprzedaży produktów, </w:t>
      </w:r>
    </w:p>
    <w:p w:rsidR="001F7F06" w:rsidRPr="00967BB4" w:rsidRDefault="001F7F06" w:rsidP="00067656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>przychody ze sprzedaży towarów i materiałów,</w:t>
      </w:r>
    </w:p>
    <w:p w:rsidR="001F7F06" w:rsidRPr="00967BB4" w:rsidRDefault="00D57A6F" w:rsidP="00067656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>p</w:t>
      </w:r>
      <w:r w:rsidR="001F7F06" w:rsidRPr="00967BB4">
        <w:t>ozostałe przychody operacyjne,</w:t>
      </w:r>
    </w:p>
    <w:p w:rsidR="00D57A6F" w:rsidRPr="00967BB4" w:rsidRDefault="00D57A6F" w:rsidP="00067656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>przychody finansowe</w:t>
      </w:r>
      <w:r w:rsidR="00EB1258" w:rsidRPr="00967BB4">
        <w:t>.</w:t>
      </w:r>
    </w:p>
    <w:p w:rsidR="00B73B81" w:rsidRPr="00EF150B" w:rsidRDefault="00EB1258" w:rsidP="00067656">
      <w:pPr>
        <w:shd w:val="clear" w:color="auto" w:fill="FFFFFF"/>
        <w:spacing w:after="0"/>
        <w:jc w:val="both"/>
        <w:rPr>
          <w:rStyle w:val="Styl3"/>
          <w:rFonts w:asciiTheme="minorHAnsi" w:hAnsiTheme="minorHAnsi"/>
        </w:rPr>
      </w:pPr>
      <w:r w:rsidRPr="00EF150B">
        <w:rPr>
          <w:rStyle w:val="Styl3"/>
          <w:rFonts w:asciiTheme="minorHAnsi" w:hAnsiTheme="minorHAnsi"/>
        </w:rPr>
        <w:t>I</w:t>
      </w:r>
      <w:r w:rsidR="000540D7">
        <w:rPr>
          <w:rStyle w:val="Styl3"/>
          <w:rFonts w:asciiTheme="minorHAnsi" w:hAnsiTheme="minorHAnsi"/>
        </w:rPr>
        <w:t>nterpretacja uzyskanych wyników</w:t>
      </w:r>
      <w:r w:rsidRPr="00EF150B">
        <w:rPr>
          <w:rStyle w:val="Styl3"/>
          <w:rFonts w:asciiTheme="minorHAnsi" w:hAnsiTheme="minorHAnsi"/>
        </w:rPr>
        <w:t xml:space="preserve"> uwzględnia stymulujący wpływ badanej zmiennej na działalność przedsiębiorstwa.</w:t>
      </w:r>
      <w:r w:rsidR="00067656">
        <w:rPr>
          <w:rStyle w:val="Styl3"/>
          <w:rFonts w:asciiTheme="minorHAnsi" w:hAnsiTheme="minorHAnsi"/>
        </w:rPr>
        <w:t xml:space="preserve"> </w:t>
      </w:r>
      <w:r w:rsidR="001F7F06" w:rsidRPr="00EF150B">
        <w:rPr>
          <w:rStyle w:val="Styl3"/>
          <w:rFonts w:asciiTheme="minorHAnsi" w:hAnsiTheme="minorHAnsi"/>
        </w:rPr>
        <w:t>W pierwszej kolejności wyznaczono tempa wzrostu przychodów z całokształtu działalności w ujęciu krajowym. Obliczone tempa wzrostu zostały ważone sektorami (składowymi przychodów z całokształtu działalności) – por. tab. 1.</w:t>
      </w:r>
    </w:p>
    <w:p w:rsidR="00EB1258" w:rsidRPr="00967BB4" w:rsidRDefault="00EB1258" w:rsidP="00967BB4">
      <w:pPr>
        <w:shd w:val="clear" w:color="auto" w:fill="FFFFFF"/>
        <w:spacing w:after="0"/>
        <w:jc w:val="both"/>
      </w:pPr>
    </w:p>
    <w:p w:rsidR="00B73B81" w:rsidRPr="00967BB4" w:rsidRDefault="001F7F06" w:rsidP="00967BB4">
      <w:pPr>
        <w:shd w:val="clear" w:color="auto" w:fill="FFFFFF"/>
        <w:spacing w:after="0"/>
      </w:pPr>
      <w:r w:rsidRPr="00967BB4">
        <w:t xml:space="preserve">Tabela 1. </w:t>
      </w:r>
      <w:r w:rsidR="000A1714" w:rsidRPr="00967BB4">
        <w:t xml:space="preserve">Tempo wzrostu </w:t>
      </w:r>
      <w:r w:rsidRPr="00967BB4">
        <w:t>ważone sektorami przychodów z całokształtu działalności w kraju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094718" w:rsidRPr="00967BB4" w:rsidTr="0051023E">
        <w:trPr>
          <w:jc w:val="center"/>
        </w:trPr>
        <w:tc>
          <w:tcPr>
            <w:tcW w:w="4606" w:type="dxa"/>
            <w:vAlign w:val="center"/>
          </w:tcPr>
          <w:p w:rsidR="00094718" w:rsidRPr="00967BB4" w:rsidRDefault="0051023E" w:rsidP="00967BB4">
            <w:pPr>
              <w:spacing w:line="276" w:lineRule="auto"/>
              <w:jc w:val="center"/>
            </w:pPr>
            <w:r w:rsidRPr="00967BB4">
              <w:t>Okresy analizy</w:t>
            </w:r>
          </w:p>
        </w:tc>
        <w:tc>
          <w:tcPr>
            <w:tcW w:w="4606" w:type="dxa"/>
            <w:vAlign w:val="center"/>
          </w:tcPr>
          <w:p w:rsidR="00094718" w:rsidRPr="00967BB4" w:rsidRDefault="00094718" w:rsidP="00967BB4">
            <w:pPr>
              <w:spacing w:line="276" w:lineRule="auto"/>
              <w:jc w:val="center"/>
            </w:pPr>
            <w:r w:rsidRPr="00967BB4">
              <w:t>Tempo wzrostu w kraju (przychodów z całokształtu działalności)</w:t>
            </w:r>
          </w:p>
        </w:tc>
      </w:tr>
      <w:tr w:rsidR="00094718" w:rsidRPr="00967BB4" w:rsidTr="00786063">
        <w:trPr>
          <w:jc w:val="center"/>
        </w:trPr>
        <w:tc>
          <w:tcPr>
            <w:tcW w:w="4606" w:type="dxa"/>
          </w:tcPr>
          <w:p w:rsidR="00094718" w:rsidRPr="00967BB4" w:rsidRDefault="00094718" w:rsidP="00967BB4">
            <w:pPr>
              <w:spacing w:line="276" w:lineRule="auto"/>
              <w:jc w:val="center"/>
            </w:pPr>
            <w:r w:rsidRPr="00967BB4">
              <w:t>2008-2010</w:t>
            </w:r>
          </w:p>
        </w:tc>
        <w:tc>
          <w:tcPr>
            <w:tcW w:w="4606" w:type="dxa"/>
          </w:tcPr>
          <w:p w:rsidR="00094718" w:rsidRPr="00967BB4" w:rsidRDefault="00094718" w:rsidP="00967BB4">
            <w:pPr>
              <w:spacing w:line="276" w:lineRule="auto"/>
              <w:jc w:val="center"/>
            </w:pPr>
            <w:r w:rsidRPr="00967BB4">
              <w:t>-0,23%</w:t>
            </w:r>
          </w:p>
        </w:tc>
      </w:tr>
      <w:tr w:rsidR="00094718" w:rsidRPr="00967BB4" w:rsidTr="00786063">
        <w:trPr>
          <w:jc w:val="center"/>
        </w:trPr>
        <w:tc>
          <w:tcPr>
            <w:tcW w:w="4606" w:type="dxa"/>
          </w:tcPr>
          <w:p w:rsidR="00094718" w:rsidRPr="00967BB4" w:rsidRDefault="00094718" w:rsidP="00967BB4">
            <w:pPr>
              <w:spacing w:line="276" w:lineRule="auto"/>
              <w:jc w:val="center"/>
            </w:pPr>
            <w:r w:rsidRPr="00967BB4">
              <w:t>2010-2012</w:t>
            </w:r>
          </w:p>
        </w:tc>
        <w:tc>
          <w:tcPr>
            <w:tcW w:w="4606" w:type="dxa"/>
          </w:tcPr>
          <w:p w:rsidR="00094718" w:rsidRPr="00967BB4" w:rsidRDefault="00094718" w:rsidP="00967BB4">
            <w:pPr>
              <w:spacing w:line="276" w:lineRule="auto"/>
              <w:jc w:val="center"/>
            </w:pPr>
            <w:r w:rsidRPr="00967BB4">
              <w:t>7,82%</w:t>
            </w:r>
          </w:p>
        </w:tc>
      </w:tr>
      <w:tr w:rsidR="00094718" w:rsidRPr="00967BB4" w:rsidTr="00786063">
        <w:trPr>
          <w:jc w:val="center"/>
        </w:trPr>
        <w:tc>
          <w:tcPr>
            <w:tcW w:w="4606" w:type="dxa"/>
          </w:tcPr>
          <w:p w:rsidR="00094718" w:rsidRPr="00967BB4" w:rsidRDefault="00094718" w:rsidP="00967BB4">
            <w:pPr>
              <w:spacing w:line="276" w:lineRule="auto"/>
              <w:jc w:val="center"/>
            </w:pPr>
            <w:r w:rsidRPr="00967BB4">
              <w:t>2012-2014</w:t>
            </w:r>
          </w:p>
        </w:tc>
        <w:tc>
          <w:tcPr>
            <w:tcW w:w="4606" w:type="dxa"/>
          </w:tcPr>
          <w:p w:rsidR="00094718" w:rsidRPr="00967BB4" w:rsidRDefault="00094718" w:rsidP="00967BB4">
            <w:pPr>
              <w:spacing w:line="276" w:lineRule="auto"/>
              <w:jc w:val="center"/>
            </w:pPr>
            <w:r w:rsidRPr="00967BB4">
              <w:t>-9,13%</w:t>
            </w:r>
          </w:p>
        </w:tc>
      </w:tr>
      <w:tr w:rsidR="00094718" w:rsidRPr="00967BB4" w:rsidTr="00786063">
        <w:trPr>
          <w:jc w:val="center"/>
        </w:trPr>
        <w:tc>
          <w:tcPr>
            <w:tcW w:w="4606" w:type="dxa"/>
          </w:tcPr>
          <w:p w:rsidR="00094718" w:rsidRPr="00967BB4" w:rsidRDefault="00094718" w:rsidP="00967BB4">
            <w:pPr>
              <w:spacing w:line="276" w:lineRule="auto"/>
              <w:jc w:val="center"/>
            </w:pPr>
            <w:r w:rsidRPr="00967BB4">
              <w:t>2008-2014</w:t>
            </w:r>
          </w:p>
        </w:tc>
        <w:tc>
          <w:tcPr>
            <w:tcW w:w="4606" w:type="dxa"/>
          </w:tcPr>
          <w:p w:rsidR="00094718" w:rsidRPr="00967BB4" w:rsidRDefault="00094718" w:rsidP="00967BB4">
            <w:pPr>
              <w:spacing w:line="276" w:lineRule="auto"/>
              <w:jc w:val="center"/>
            </w:pPr>
            <w:r w:rsidRPr="00967BB4">
              <w:t>-2,24%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967BB4">
      <w:pPr>
        <w:shd w:val="clear" w:color="auto" w:fill="FFFFFF"/>
        <w:spacing w:after="0"/>
        <w:jc w:val="both"/>
        <w:rPr>
          <w:rStyle w:val="Styl3"/>
          <w:rFonts w:asciiTheme="minorHAnsi" w:hAnsiTheme="minorHAnsi"/>
        </w:rPr>
      </w:pPr>
    </w:p>
    <w:p w:rsidR="00224797" w:rsidRPr="00EF150B" w:rsidRDefault="00224797" w:rsidP="00967BB4">
      <w:pPr>
        <w:shd w:val="clear" w:color="auto" w:fill="FFFFFF"/>
        <w:spacing w:after="0"/>
        <w:jc w:val="both"/>
        <w:rPr>
          <w:rStyle w:val="Styl3"/>
          <w:rFonts w:asciiTheme="minorHAnsi" w:hAnsiTheme="minorHAnsi"/>
        </w:rPr>
      </w:pPr>
      <w:r w:rsidRPr="00EF150B">
        <w:rPr>
          <w:rStyle w:val="Styl3"/>
          <w:rFonts w:asciiTheme="minorHAnsi" w:hAnsiTheme="minorHAnsi"/>
        </w:rPr>
        <w:lastRenderedPageBreak/>
        <w:t xml:space="preserve">Obliczono tempa wzrostu ważone regionami </w:t>
      </w:r>
      <w:r w:rsidR="000540D7">
        <w:rPr>
          <w:rStyle w:val="Styl3"/>
          <w:rFonts w:asciiTheme="minorHAnsi" w:hAnsiTheme="minorHAnsi"/>
        </w:rPr>
        <w:t>dla 4 okresów czasowych. Trzy s</w:t>
      </w:r>
      <w:r w:rsidRPr="00EF150B">
        <w:rPr>
          <w:rStyle w:val="Styl3"/>
          <w:rFonts w:asciiTheme="minorHAnsi" w:hAnsiTheme="minorHAnsi"/>
        </w:rPr>
        <w:t xml:space="preserve">pośród nich prezentują zakres danych z interwałem dwuletnim, tj. 2008-2010, 2010-2012, 2012-2014, natomiast czwarty okres reprezentuje </w:t>
      </w:r>
      <w:r w:rsidR="00067656">
        <w:rPr>
          <w:rStyle w:val="Styl3"/>
          <w:rFonts w:asciiTheme="minorHAnsi" w:hAnsiTheme="minorHAnsi"/>
        </w:rPr>
        <w:t>cały zakres analizy (lata</w:t>
      </w:r>
      <w:r w:rsidRPr="00EF150B">
        <w:rPr>
          <w:rStyle w:val="Styl3"/>
          <w:rFonts w:asciiTheme="minorHAnsi" w:hAnsiTheme="minorHAnsi"/>
        </w:rPr>
        <w:t xml:space="preserve"> 2008-2014</w:t>
      </w:r>
      <w:r w:rsidR="00067656">
        <w:rPr>
          <w:rStyle w:val="Styl3"/>
          <w:rFonts w:asciiTheme="minorHAnsi" w:hAnsiTheme="minorHAnsi"/>
        </w:rPr>
        <w:t>)</w:t>
      </w:r>
      <w:r w:rsidRPr="00EF150B">
        <w:rPr>
          <w:rStyle w:val="Styl3"/>
          <w:rFonts w:asciiTheme="minorHAnsi" w:hAnsiTheme="minorHAnsi"/>
        </w:rPr>
        <w:t>. W całym okresie analizy przychody z całokształt</w:t>
      </w:r>
      <w:r w:rsidR="0051023E" w:rsidRPr="00EF150B">
        <w:rPr>
          <w:rStyle w:val="Styl3"/>
          <w:rFonts w:asciiTheme="minorHAnsi" w:hAnsiTheme="minorHAnsi"/>
        </w:rPr>
        <w:t>u działalności przedsiębiorstw z branży budowlanej spadły o 2,24 %. Najgorsza sytuacja mia</w:t>
      </w:r>
      <w:r w:rsidR="00213E26" w:rsidRPr="00EF150B">
        <w:rPr>
          <w:rStyle w:val="Styl3"/>
          <w:rFonts w:asciiTheme="minorHAnsi" w:hAnsiTheme="minorHAnsi"/>
        </w:rPr>
        <w:t>ła miejsce w latach 2012-2014. W o</w:t>
      </w:r>
      <w:r w:rsidR="0051023E" w:rsidRPr="00EF150B">
        <w:rPr>
          <w:rStyle w:val="Styl3"/>
          <w:rFonts w:asciiTheme="minorHAnsi" w:hAnsiTheme="minorHAnsi"/>
        </w:rPr>
        <w:t>kresie tym, nastąpił spadek przychodów z całokształtu działalności o 9,13%. Najlepsza wartość, prezentująca wzrost przychodów o 7,82% miała miejsce w latach 2010-2012.</w:t>
      </w:r>
    </w:p>
    <w:p w:rsidR="0051023E" w:rsidRPr="00EF150B" w:rsidRDefault="00722DD3" w:rsidP="00967BB4">
      <w:pPr>
        <w:shd w:val="clear" w:color="auto" w:fill="FFFFFF"/>
        <w:spacing w:after="0"/>
        <w:jc w:val="both"/>
        <w:rPr>
          <w:rStyle w:val="Styl3"/>
          <w:rFonts w:asciiTheme="minorHAnsi" w:hAnsiTheme="minorHAnsi"/>
        </w:rPr>
      </w:pPr>
      <w:r w:rsidRPr="00EF150B">
        <w:rPr>
          <w:rStyle w:val="Styl3"/>
          <w:rFonts w:asciiTheme="minorHAnsi" w:hAnsiTheme="minorHAnsi"/>
        </w:rPr>
        <w:t xml:space="preserve">W celu szczegółowej analizy zmian strukturalnych (sektorowych) w tabeli 2 przedstawiono strukturalny czynnik wzrostu. Strukturalny czynnik wzrostu został obliczony dla trzech składowych przychodów z całokształtu działalności, tj.: </w:t>
      </w:r>
      <w:r w:rsidR="0051023E" w:rsidRPr="00EF150B">
        <w:rPr>
          <w:rStyle w:val="Styl3"/>
          <w:rFonts w:asciiTheme="minorHAnsi" w:hAnsiTheme="minorHAnsi"/>
        </w:rPr>
        <w:t xml:space="preserve">przychodów ze sprzedaży produktów, </w:t>
      </w:r>
      <w:r w:rsidRPr="00EF150B">
        <w:rPr>
          <w:rStyle w:val="Styl3"/>
          <w:rFonts w:asciiTheme="minorHAnsi" w:hAnsiTheme="minorHAnsi"/>
        </w:rPr>
        <w:t xml:space="preserve">przychodów ze sprzedaży </w:t>
      </w:r>
      <w:r w:rsidR="0051023E" w:rsidRPr="00EF150B">
        <w:rPr>
          <w:rStyle w:val="Styl3"/>
          <w:rFonts w:asciiTheme="minorHAnsi" w:hAnsiTheme="minorHAnsi"/>
        </w:rPr>
        <w:t xml:space="preserve">towarów i materiałów; pozostałych przychodów operacyjnych oraz przychodów finansowych. </w:t>
      </w:r>
    </w:p>
    <w:p w:rsidR="00EF150B" w:rsidRPr="00967BB4" w:rsidRDefault="00EF150B" w:rsidP="00967BB4">
      <w:pPr>
        <w:shd w:val="clear" w:color="auto" w:fill="FFFFFF"/>
        <w:spacing w:after="0"/>
        <w:jc w:val="both"/>
      </w:pPr>
    </w:p>
    <w:p w:rsidR="00722DD3" w:rsidRPr="00967BB4" w:rsidRDefault="00722DD3" w:rsidP="00967BB4">
      <w:pPr>
        <w:shd w:val="clear" w:color="auto" w:fill="FFFFFF"/>
        <w:spacing w:after="0"/>
      </w:pPr>
      <w:r w:rsidRPr="00967BB4">
        <w:t>Tabela 2. Sektorowy (strukturalny) czynnik wzrostu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1023E" w:rsidRPr="00967BB4" w:rsidTr="0011115E">
        <w:tc>
          <w:tcPr>
            <w:tcW w:w="2303" w:type="dxa"/>
            <w:vAlign w:val="center"/>
          </w:tcPr>
          <w:p w:rsidR="0051023E" w:rsidRPr="00967BB4" w:rsidRDefault="0051023E" w:rsidP="00967BB4">
            <w:pPr>
              <w:spacing w:line="276" w:lineRule="auto"/>
              <w:jc w:val="center"/>
            </w:pPr>
            <w:r w:rsidRPr="00967BB4">
              <w:t>Przedział czasowy</w:t>
            </w:r>
          </w:p>
        </w:tc>
        <w:tc>
          <w:tcPr>
            <w:tcW w:w="2303" w:type="dxa"/>
            <w:vAlign w:val="center"/>
          </w:tcPr>
          <w:p w:rsidR="0051023E" w:rsidRPr="00967BB4" w:rsidRDefault="0051023E" w:rsidP="00967BB4">
            <w:pPr>
              <w:spacing w:line="276" w:lineRule="auto"/>
              <w:jc w:val="center"/>
            </w:pPr>
            <w:r w:rsidRPr="00967BB4">
              <w:t>przychody ze sprzedaży produktów, towarów i materiałów</w:t>
            </w:r>
          </w:p>
        </w:tc>
        <w:tc>
          <w:tcPr>
            <w:tcW w:w="2303" w:type="dxa"/>
            <w:vAlign w:val="center"/>
          </w:tcPr>
          <w:p w:rsidR="0051023E" w:rsidRPr="00967BB4" w:rsidRDefault="0051023E" w:rsidP="00967BB4">
            <w:pPr>
              <w:spacing w:line="276" w:lineRule="auto"/>
              <w:jc w:val="center"/>
            </w:pPr>
            <w:r w:rsidRPr="00967BB4">
              <w:t>pozostałe przychody operacyjne</w:t>
            </w:r>
          </w:p>
        </w:tc>
        <w:tc>
          <w:tcPr>
            <w:tcW w:w="2303" w:type="dxa"/>
            <w:vAlign w:val="center"/>
          </w:tcPr>
          <w:p w:rsidR="0051023E" w:rsidRPr="00967BB4" w:rsidRDefault="0051023E" w:rsidP="00967BB4">
            <w:pPr>
              <w:spacing w:line="276" w:lineRule="auto"/>
              <w:jc w:val="center"/>
            </w:pPr>
            <w:r w:rsidRPr="00967BB4">
              <w:t>przychody finansowe</w:t>
            </w:r>
          </w:p>
        </w:tc>
      </w:tr>
      <w:tr w:rsidR="0051023E" w:rsidRPr="00967BB4" w:rsidTr="00335D9C">
        <w:tc>
          <w:tcPr>
            <w:tcW w:w="2303" w:type="dxa"/>
          </w:tcPr>
          <w:p w:rsidR="0051023E" w:rsidRPr="00967BB4" w:rsidRDefault="0051023E" w:rsidP="00967BB4">
            <w:pPr>
              <w:spacing w:line="276" w:lineRule="auto"/>
            </w:pPr>
            <w:r w:rsidRPr="00967BB4">
              <w:t>2008-2010</w:t>
            </w:r>
          </w:p>
        </w:tc>
        <w:tc>
          <w:tcPr>
            <w:tcW w:w="2303" w:type="dxa"/>
          </w:tcPr>
          <w:p w:rsidR="0051023E" w:rsidRPr="00967BB4" w:rsidRDefault="00722DD3" w:rsidP="00967BB4">
            <w:pPr>
              <w:spacing w:line="276" w:lineRule="auto"/>
              <w:jc w:val="center"/>
            </w:pPr>
            <w:r w:rsidRPr="00967BB4">
              <w:t>2,14%</w:t>
            </w:r>
          </w:p>
        </w:tc>
        <w:tc>
          <w:tcPr>
            <w:tcW w:w="2303" w:type="dxa"/>
          </w:tcPr>
          <w:p w:rsidR="0051023E" w:rsidRPr="00967BB4" w:rsidRDefault="00722DD3" w:rsidP="00967BB4">
            <w:pPr>
              <w:spacing w:line="276" w:lineRule="auto"/>
              <w:jc w:val="center"/>
            </w:pPr>
            <w:r w:rsidRPr="00967BB4">
              <w:t>-14,62%</w:t>
            </w:r>
          </w:p>
        </w:tc>
        <w:tc>
          <w:tcPr>
            <w:tcW w:w="2303" w:type="dxa"/>
          </w:tcPr>
          <w:p w:rsidR="0051023E" w:rsidRPr="00967BB4" w:rsidRDefault="00722DD3" w:rsidP="00967BB4">
            <w:pPr>
              <w:spacing w:line="276" w:lineRule="auto"/>
              <w:jc w:val="center"/>
            </w:pPr>
            <w:r w:rsidRPr="00967BB4">
              <w:t>53,62%</w:t>
            </w:r>
          </w:p>
        </w:tc>
      </w:tr>
      <w:tr w:rsidR="0051023E" w:rsidRPr="00967BB4" w:rsidTr="00335D9C">
        <w:tc>
          <w:tcPr>
            <w:tcW w:w="2303" w:type="dxa"/>
          </w:tcPr>
          <w:p w:rsidR="0051023E" w:rsidRPr="00967BB4" w:rsidRDefault="0051023E" w:rsidP="00967BB4">
            <w:pPr>
              <w:spacing w:line="276" w:lineRule="auto"/>
            </w:pPr>
            <w:r w:rsidRPr="00967BB4">
              <w:t>2010-2012</w:t>
            </w:r>
          </w:p>
        </w:tc>
        <w:tc>
          <w:tcPr>
            <w:tcW w:w="2303" w:type="dxa"/>
          </w:tcPr>
          <w:p w:rsidR="0051023E" w:rsidRPr="00967BB4" w:rsidRDefault="00722DD3" w:rsidP="00967BB4">
            <w:pPr>
              <w:spacing w:line="276" w:lineRule="auto"/>
              <w:jc w:val="center"/>
            </w:pPr>
            <w:r w:rsidRPr="00967BB4">
              <w:t>-0,73%</w:t>
            </w:r>
          </w:p>
        </w:tc>
        <w:tc>
          <w:tcPr>
            <w:tcW w:w="2303" w:type="dxa"/>
          </w:tcPr>
          <w:p w:rsidR="0051023E" w:rsidRPr="00967BB4" w:rsidRDefault="00722DD3" w:rsidP="00967BB4">
            <w:pPr>
              <w:spacing w:line="276" w:lineRule="auto"/>
              <w:jc w:val="center"/>
            </w:pPr>
            <w:r w:rsidRPr="00967BB4">
              <w:t>62,79%</w:t>
            </w:r>
          </w:p>
        </w:tc>
        <w:tc>
          <w:tcPr>
            <w:tcW w:w="2303" w:type="dxa"/>
          </w:tcPr>
          <w:p w:rsidR="0051023E" w:rsidRPr="00967BB4" w:rsidRDefault="00722DD3" w:rsidP="00967BB4">
            <w:pPr>
              <w:spacing w:line="276" w:lineRule="auto"/>
              <w:jc w:val="center"/>
            </w:pPr>
            <w:r w:rsidRPr="00967BB4">
              <w:t>24,77%</w:t>
            </w:r>
          </w:p>
        </w:tc>
      </w:tr>
      <w:tr w:rsidR="0051023E" w:rsidRPr="00967BB4" w:rsidTr="00335D9C">
        <w:tc>
          <w:tcPr>
            <w:tcW w:w="2303" w:type="dxa"/>
          </w:tcPr>
          <w:p w:rsidR="0051023E" w:rsidRPr="00967BB4" w:rsidRDefault="0051023E" w:rsidP="00967BB4">
            <w:pPr>
              <w:spacing w:line="276" w:lineRule="auto"/>
            </w:pPr>
            <w:r w:rsidRPr="00967BB4">
              <w:t>2012-2014</w:t>
            </w:r>
          </w:p>
        </w:tc>
        <w:tc>
          <w:tcPr>
            <w:tcW w:w="2303" w:type="dxa"/>
          </w:tcPr>
          <w:p w:rsidR="0051023E" w:rsidRPr="00967BB4" w:rsidRDefault="00722DD3" w:rsidP="00967BB4">
            <w:pPr>
              <w:spacing w:line="276" w:lineRule="auto"/>
              <w:jc w:val="center"/>
            </w:pPr>
            <w:r w:rsidRPr="00967BB4">
              <w:t>0,20</w:t>
            </w:r>
            <w:r w:rsidR="0051023E" w:rsidRPr="00967BB4">
              <w:t>%</w:t>
            </w:r>
          </w:p>
        </w:tc>
        <w:tc>
          <w:tcPr>
            <w:tcW w:w="2303" w:type="dxa"/>
          </w:tcPr>
          <w:p w:rsidR="0051023E" w:rsidRPr="00967BB4" w:rsidRDefault="00722DD3" w:rsidP="00967BB4">
            <w:pPr>
              <w:spacing w:line="276" w:lineRule="auto"/>
              <w:jc w:val="center"/>
            </w:pPr>
            <w:r w:rsidRPr="00967BB4">
              <w:t>-23,00</w:t>
            </w:r>
            <w:r w:rsidR="0051023E" w:rsidRPr="00967BB4">
              <w:t>%</w:t>
            </w:r>
          </w:p>
        </w:tc>
        <w:tc>
          <w:tcPr>
            <w:tcW w:w="2303" w:type="dxa"/>
          </w:tcPr>
          <w:p w:rsidR="0051023E" w:rsidRPr="00967BB4" w:rsidRDefault="00722DD3" w:rsidP="00967BB4">
            <w:pPr>
              <w:spacing w:line="276" w:lineRule="auto"/>
              <w:jc w:val="center"/>
            </w:pPr>
            <w:r w:rsidRPr="00967BB4">
              <w:t>37,97</w:t>
            </w:r>
            <w:r w:rsidR="0051023E" w:rsidRPr="00967BB4">
              <w:t>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EF150B">
      <w:pPr>
        <w:shd w:val="clear" w:color="auto" w:fill="FFFFFF"/>
        <w:spacing w:after="0"/>
        <w:jc w:val="both"/>
        <w:rPr>
          <w:rStyle w:val="Styl3"/>
          <w:rFonts w:asciiTheme="minorHAnsi" w:hAnsiTheme="minorHAnsi"/>
        </w:rPr>
      </w:pPr>
    </w:p>
    <w:p w:rsidR="0051023E" w:rsidRPr="00967BB4" w:rsidRDefault="00722DD3" w:rsidP="00967BB4">
      <w:pPr>
        <w:shd w:val="clear" w:color="auto" w:fill="FFFFFF"/>
        <w:spacing w:after="0"/>
        <w:jc w:val="both"/>
      </w:pPr>
      <w:r w:rsidRPr="00967BB4">
        <w:t xml:space="preserve">Rozpatrując zmiany strukturalne w obszarze przychodów przedsiębiorstw branży budowlanej, możemy zauważyć, że w latach 2008-2010 oraz 2012-2014 największy wzrost przedsiębiorstwa odnotowały w strukturze określonej jako przychody finansowe (odpowiednio 53,62% i 37,97%), natomiast największy spadek w strukturze pozostałe przychody operacyjne (odpowiednio -14,62% i </w:t>
      </w:r>
      <w:r w:rsidR="00C5357D" w:rsidRPr="00967BB4">
        <w:br/>
      </w:r>
      <w:r w:rsidRPr="00967BB4">
        <w:t xml:space="preserve">-23,00%). </w:t>
      </w:r>
      <w:r w:rsidR="00007EB5" w:rsidRPr="00967BB4">
        <w:t xml:space="preserve">Sektorowy czynnik </w:t>
      </w:r>
      <w:r w:rsidR="00213E26" w:rsidRPr="00967BB4">
        <w:t>zmian</w:t>
      </w:r>
      <w:r w:rsidR="00007EB5" w:rsidRPr="00967BB4">
        <w:t xml:space="preserve"> osiągnął największa poprawę, cechującą się wzrostem 62,79% w latach 2010-2012 dla struktury pozostałe przychody operacyjne. </w:t>
      </w:r>
    </w:p>
    <w:p w:rsidR="0051023E" w:rsidRDefault="00C5357D" w:rsidP="00967BB4">
      <w:pPr>
        <w:shd w:val="clear" w:color="auto" w:fill="FFFFFF"/>
        <w:spacing w:after="0"/>
        <w:jc w:val="both"/>
      </w:pPr>
      <w:r w:rsidRPr="00967BB4">
        <w:t>W trzecim kroku badawczym, obliczono równość strukturalno-geograficzną, przedstawiającą całkowity efekt zmian jakie miały miejsce w badanych okresach. Równość strukturalno-geograficzna została obliczona z zastosowaniem metodologii obliczeniowej opisanej w pracy</w:t>
      </w:r>
      <w:r w:rsidR="00B25B1F" w:rsidRPr="00967BB4">
        <w:t xml:space="preserve"> Suchacki (</w:t>
      </w:r>
      <w:r w:rsidRPr="00967BB4">
        <w:t>2010</w:t>
      </w:r>
      <w:r w:rsidR="00B25B1F" w:rsidRPr="00967BB4">
        <w:t>)</w:t>
      </w:r>
      <w:r w:rsidRPr="00967BB4">
        <w:t xml:space="preserve"> </w:t>
      </w:r>
      <w:r w:rsidR="00B25B1F" w:rsidRPr="00967BB4">
        <w:t>– por. tabela 3.</w:t>
      </w:r>
    </w:p>
    <w:p w:rsidR="00EF150B" w:rsidRPr="00967BB4" w:rsidRDefault="00EF150B" w:rsidP="00967BB4">
      <w:pPr>
        <w:shd w:val="clear" w:color="auto" w:fill="FFFFFF"/>
        <w:spacing w:after="0"/>
        <w:jc w:val="both"/>
      </w:pPr>
    </w:p>
    <w:p w:rsidR="00094718" w:rsidRPr="00967BB4" w:rsidRDefault="00B25B1F" w:rsidP="00967BB4">
      <w:pPr>
        <w:shd w:val="clear" w:color="auto" w:fill="FFFFFF"/>
        <w:spacing w:after="0"/>
      </w:pPr>
      <w:r w:rsidRPr="00967BB4">
        <w:t xml:space="preserve">Tabela 3. </w:t>
      </w:r>
      <w:r w:rsidR="000A1714" w:rsidRPr="00967BB4">
        <w:t>Równość strukturalno-geograficzna (efekt całkowity)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454"/>
        <w:gridCol w:w="1199"/>
        <w:gridCol w:w="1181"/>
        <w:gridCol w:w="1218"/>
      </w:tblGrid>
      <w:tr w:rsidR="00094718" w:rsidRPr="00967BB4" w:rsidTr="00AD3D32">
        <w:trPr>
          <w:trHeight w:val="285"/>
          <w:tblHeader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9A7A3D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województw</w:t>
            </w:r>
            <w:r>
              <w:rPr>
                <w:rFonts w:eastAsia="Times New Roman" w:cs="Arial"/>
                <w:color w:val="000000"/>
                <w:lang w:eastAsia="pl-PL"/>
              </w:rPr>
              <w:t>o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2008-2010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2010-2012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2012-2014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2008-2014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OPOLSKIE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17%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-19%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38%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36%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PODLASKIE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6%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23%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32%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POMORSKIE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-11%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10%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14%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13%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KUJAWSKO-POMORSKIE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4%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-12%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13%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5%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DOLNOŚLĄSKIE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13%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-6%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4%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MAZOWIECKIE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13%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PODKARPACKIE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8%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-18%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11%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ŚLĄSKIE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-5%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4%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0%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MAŁOPOLSKIE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5%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-5%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-3%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lastRenderedPageBreak/>
              <w:t xml:space="preserve"> ZACHODNIOPOMORSKIE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16%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-27%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10%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ŚWIĘTOKRZYSKIE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13%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-18%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-10%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ŁÓDZKIE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-11%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0%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-11%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WIELKOPOLSKIE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-20%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-15%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LUBELSKIE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9%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-22%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-16%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WARMIŃSKO-MAZURSKIE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-20%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-6%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-27%</w:t>
            </w:r>
          </w:p>
        </w:tc>
      </w:tr>
      <w:tr w:rsidR="00094718" w:rsidRPr="00967BB4" w:rsidTr="00094718">
        <w:trPr>
          <w:trHeight w:val="285"/>
        </w:trPr>
        <w:tc>
          <w:tcPr>
            <w:tcW w:w="2258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LUBUSKIE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-18%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-48%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17%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-44%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EF150B">
      <w:pPr>
        <w:shd w:val="clear" w:color="auto" w:fill="FFFFFF"/>
        <w:spacing w:after="0"/>
        <w:jc w:val="both"/>
        <w:rPr>
          <w:rStyle w:val="Styl3"/>
          <w:rFonts w:asciiTheme="minorHAnsi" w:hAnsiTheme="minorHAnsi"/>
        </w:rPr>
      </w:pPr>
    </w:p>
    <w:p w:rsidR="00094718" w:rsidRPr="00967BB4" w:rsidRDefault="00B25B1F" w:rsidP="00967BB4">
      <w:pPr>
        <w:shd w:val="clear" w:color="auto" w:fill="FFFFFF"/>
        <w:spacing w:after="0"/>
        <w:jc w:val="both"/>
      </w:pPr>
      <w:r w:rsidRPr="00967BB4">
        <w:t xml:space="preserve">W kolumnach tabeli 3 zamieszono zmiany procentowe osiąganych efektów całkowitych dla badanych regionów. W kolumnie oznaczonej 2008-2014, zaprezentowano posortowanie malejące wartości zmian procentowych dla okresu 7 lat. W okresie </w:t>
      </w:r>
      <w:r w:rsidR="00067656">
        <w:t xml:space="preserve">lat </w:t>
      </w:r>
      <w:r w:rsidRPr="00967BB4">
        <w:t xml:space="preserve">2008-2014 przedsiębiorstwa branży budowlanej z trzech województw osiągnęły ponad 10% wzrost  efektu całkowitego. Do województw tych należą opolskie (wzrost </w:t>
      </w:r>
      <w:r w:rsidR="00213E26" w:rsidRPr="00967BB4">
        <w:t xml:space="preserve">o </w:t>
      </w:r>
      <w:r w:rsidRPr="00967BB4">
        <w:t>36%), podlaskie (</w:t>
      </w:r>
      <w:r w:rsidR="00213E26" w:rsidRPr="00967BB4">
        <w:t xml:space="preserve">wzrost o </w:t>
      </w:r>
      <w:r w:rsidRPr="00967BB4">
        <w:t>32%) oraz pomorskie (</w:t>
      </w:r>
      <w:r w:rsidR="00213E26" w:rsidRPr="00967BB4">
        <w:t xml:space="preserve">wzrost o </w:t>
      </w:r>
      <w:r w:rsidRPr="00967BB4">
        <w:t xml:space="preserve">13%).  </w:t>
      </w:r>
      <w:r w:rsidR="000A5204" w:rsidRPr="00967BB4">
        <w:t>Najgorsza sytuacja miała miejsce w województwie lubuskim, w którym przedsiębiorstwa budowlane zanotowały spadek 44% efektu całkowitego.</w:t>
      </w:r>
    </w:p>
    <w:p w:rsidR="000A5204" w:rsidRDefault="000A5204" w:rsidP="00967BB4">
      <w:pPr>
        <w:shd w:val="clear" w:color="auto" w:fill="FFFFFF"/>
        <w:spacing w:after="0"/>
        <w:jc w:val="both"/>
      </w:pPr>
      <w:r w:rsidRPr="00967BB4">
        <w:t>Podejmując próby bardziej szczegółowej analizy zmian dodatkowo obliczono efekty strukturalne oraz geografic</w:t>
      </w:r>
      <w:r w:rsidR="00AF5990" w:rsidRPr="00967BB4">
        <w:t>zne – por. tabela 4.  Wzrost efektu całkowitego dla województwa opolskiego o 36,24%, spowodowany był w minimalnym stopniu zmianami w strukturze składowych przychodów z całokształtu działalności (wzrost efektu strukturalnego o 1,33%), a w znacząco większym stopniu  przez zmiany wewnętrzne związane z konkurencyjnością danego obszaru (efekt geograficzny wynoszący 34,9%).</w:t>
      </w:r>
    </w:p>
    <w:p w:rsidR="00EF150B" w:rsidRPr="00967BB4" w:rsidRDefault="00EF150B" w:rsidP="00967BB4">
      <w:pPr>
        <w:shd w:val="clear" w:color="auto" w:fill="FFFFFF"/>
        <w:spacing w:after="0"/>
        <w:jc w:val="both"/>
      </w:pPr>
    </w:p>
    <w:p w:rsidR="00094718" w:rsidRPr="00967BB4" w:rsidRDefault="00AF5990" w:rsidP="00967BB4">
      <w:pPr>
        <w:shd w:val="clear" w:color="auto" w:fill="FFFFFF"/>
        <w:spacing w:after="0"/>
      </w:pPr>
      <w:r w:rsidRPr="00967BB4">
        <w:t xml:space="preserve">Tabela 4. Wyniki analizy </w:t>
      </w:r>
      <w:proofErr w:type="spellStart"/>
      <w:r w:rsidRPr="00967BB4">
        <w:t>shift-share</w:t>
      </w:r>
      <w:proofErr w:type="spellEnd"/>
      <w:r w:rsidR="00EE29E3" w:rsidRPr="00967BB4">
        <w:t xml:space="preserve"> 2008-2014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1514"/>
        <w:gridCol w:w="1879"/>
        <w:gridCol w:w="1940"/>
      </w:tblGrid>
      <w:tr w:rsidR="00094718" w:rsidRPr="00967BB4" w:rsidTr="00AF5990">
        <w:trPr>
          <w:trHeight w:val="315"/>
          <w:tblHeader/>
        </w:trPr>
        <w:tc>
          <w:tcPr>
            <w:tcW w:w="2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9A7A3D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województw</w:t>
            </w:r>
            <w:r>
              <w:rPr>
                <w:rFonts w:eastAsia="Times New Roman" w:cs="Arial"/>
                <w:color w:val="000000"/>
                <w:lang w:eastAsia="pl-PL"/>
              </w:rPr>
              <w:t>o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całkowity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strukturalny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geograficzny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OPOLSKIE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36,24%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1,33%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34,91%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PODLASKIE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31,60%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1,17%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30,42%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POMORSKIE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12,55%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0,80%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11,75%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KUJAWSKO-POMORSKIE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5,46%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1,18%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4,27%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DOLNOŚLĄSKIE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3,61%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1,14%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2,47%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MAZOWIECKIE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3,48%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-1,66%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5,14%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PODKARPACKIE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1,85%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1,13%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0,72%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ŚLĄSKIE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0,05%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0,99%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-0,94%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MAŁOPOLSKIE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-3,75%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1,18%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-4,94%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ZACHODNIOPOMORSKIE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-4,09%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0,73%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-4,82%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ŚWIĘTOKRZYSKIE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-9,89%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-0,01%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-9,88%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ŁÓDZKIE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-10,65%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1,19%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-11,84%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WIELKOPOLSKIE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-15,13%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0,78%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-15,91%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LUBELSKIE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-15,51%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1,45%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-16,96%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WARMIŃSKO-MAZURSKIE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-26,50%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1,52%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-28,02%</w:t>
            </w:r>
          </w:p>
        </w:tc>
      </w:tr>
      <w:tr w:rsidR="00094718" w:rsidRPr="00967BB4" w:rsidTr="00094718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LUBUSKIE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-44,46%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1,34%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718" w:rsidRPr="00967BB4" w:rsidRDefault="00094718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-45,80%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2C459B" w:rsidRPr="00967BB4" w:rsidRDefault="00D169FA" w:rsidP="00967BB4">
      <w:pPr>
        <w:shd w:val="clear" w:color="auto" w:fill="FFFFFF"/>
        <w:spacing w:after="0"/>
        <w:rPr>
          <w:b/>
        </w:rPr>
      </w:pPr>
      <w:r>
        <w:rPr>
          <w:b/>
        </w:rPr>
        <w:lastRenderedPageBreak/>
        <w:t>I</w:t>
      </w:r>
      <w:r w:rsidR="003534FC" w:rsidRPr="00967BB4">
        <w:rPr>
          <w:b/>
        </w:rPr>
        <w:t xml:space="preserve">V.II. </w:t>
      </w:r>
      <w:r w:rsidR="002C459B" w:rsidRPr="00967BB4">
        <w:rPr>
          <w:b/>
        </w:rPr>
        <w:t>Koszty uzyskania przychodu z całokształtu działalności</w:t>
      </w:r>
    </w:p>
    <w:p w:rsidR="00EB1258" w:rsidRPr="00967BB4" w:rsidRDefault="00EB1258" w:rsidP="00067656">
      <w:pPr>
        <w:shd w:val="clear" w:color="auto" w:fill="FFFFFF"/>
        <w:spacing w:after="0"/>
        <w:jc w:val="both"/>
      </w:pPr>
      <w:r w:rsidRPr="00967BB4">
        <w:t>Badając zmiany zachodzące w kategorii koszty uzyskania przychodu z całokształtu działalności, dokonano ogólnej charakterystyki podanej kategorii oraz przeanalizowano  jej składowe w postaci:</w:t>
      </w:r>
    </w:p>
    <w:p w:rsidR="00EB1258" w:rsidRPr="00967BB4" w:rsidRDefault="00EB1258" w:rsidP="00067656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 xml:space="preserve">koszt własny sprzedanych produktów, </w:t>
      </w:r>
    </w:p>
    <w:p w:rsidR="00EB1258" w:rsidRPr="00967BB4" w:rsidRDefault="00EB1258" w:rsidP="00067656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>wartość sprzedanych towarów i materiałów,</w:t>
      </w:r>
    </w:p>
    <w:p w:rsidR="00EB1258" w:rsidRPr="00967BB4" w:rsidRDefault="00EB1258" w:rsidP="00067656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>koszty finansowe,</w:t>
      </w:r>
    </w:p>
    <w:p w:rsidR="00EB1258" w:rsidRPr="00967BB4" w:rsidRDefault="00EB1258" w:rsidP="00067656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 xml:space="preserve">pozostałe koszty operacyjne </w:t>
      </w:r>
      <w:r w:rsidR="00EF150B">
        <w:t>.</w:t>
      </w:r>
    </w:p>
    <w:p w:rsidR="00EB1258" w:rsidRPr="00967BB4" w:rsidRDefault="00EB1258" w:rsidP="00067656">
      <w:pPr>
        <w:shd w:val="clear" w:color="auto" w:fill="FFFFFF"/>
        <w:spacing w:after="0"/>
        <w:jc w:val="both"/>
      </w:pPr>
      <w:r w:rsidRPr="00967BB4">
        <w:t xml:space="preserve">Interpretacja uzyskanych wyników  uwzględnia </w:t>
      </w:r>
      <w:proofErr w:type="spellStart"/>
      <w:r w:rsidRPr="00967BB4">
        <w:t>destymulujący</w:t>
      </w:r>
      <w:proofErr w:type="spellEnd"/>
      <w:r w:rsidRPr="00967BB4">
        <w:t xml:space="preserve">  wpływ badanej zmiennej na działalność przedsiębiorstw.</w:t>
      </w:r>
    </w:p>
    <w:p w:rsidR="00B87985" w:rsidRDefault="002C459B" w:rsidP="00067656">
      <w:pPr>
        <w:shd w:val="clear" w:color="auto" w:fill="FFFFFF"/>
        <w:spacing w:after="0"/>
        <w:jc w:val="both"/>
      </w:pPr>
      <w:r w:rsidRPr="00967BB4">
        <w:t xml:space="preserve">W tabeli 5 wyznaczono tempa wzrostu kosztów uzyskania z całokształtu działalności w ujęciu krajowym. </w:t>
      </w:r>
    </w:p>
    <w:p w:rsidR="00EF150B" w:rsidRPr="00967BB4" w:rsidRDefault="00EF150B" w:rsidP="00967BB4">
      <w:pPr>
        <w:shd w:val="clear" w:color="auto" w:fill="FFFFFF"/>
        <w:spacing w:after="0"/>
        <w:jc w:val="both"/>
      </w:pPr>
    </w:p>
    <w:p w:rsidR="00B87985" w:rsidRPr="00967BB4" w:rsidRDefault="002C459B" w:rsidP="00967BB4">
      <w:pPr>
        <w:shd w:val="clear" w:color="auto" w:fill="FFFFFF"/>
        <w:spacing w:after="0"/>
      </w:pPr>
      <w:r w:rsidRPr="00967BB4">
        <w:t>Tabela 5. Tempo wzrostu ważone sektorami kosztów uzyskania z całokształtu działalności w kraju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87985" w:rsidRPr="00967BB4" w:rsidTr="00AD526A">
        <w:trPr>
          <w:jc w:val="center"/>
        </w:trPr>
        <w:tc>
          <w:tcPr>
            <w:tcW w:w="4606" w:type="dxa"/>
            <w:vAlign w:val="center"/>
          </w:tcPr>
          <w:p w:rsidR="00B87985" w:rsidRPr="00967BB4" w:rsidRDefault="00AD526A" w:rsidP="00967BB4">
            <w:pPr>
              <w:spacing w:line="276" w:lineRule="auto"/>
              <w:jc w:val="center"/>
            </w:pPr>
            <w:r w:rsidRPr="00967BB4">
              <w:t>Okresy analizy</w:t>
            </w:r>
          </w:p>
        </w:tc>
        <w:tc>
          <w:tcPr>
            <w:tcW w:w="4606" w:type="dxa"/>
            <w:vAlign w:val="center"/>
          </w:tcPr>
          <w:p w:rsidR="00B87985" w:rsidRPr="00967BB4" w:rsidRDefault="00B87985" w:rsidP="00967BB4">
            <w:pPr>
              <w:spacing w:line="276" w:lineRule="auto"/>
              <w:jc w:val="center"/>
            </w:pPr>
            <w:r w:rsidRPr="00967BB4">
              <w:t>Tempo wzrostu w kraju (koszty z całokształtu działalności)</w:t>
            </w:r>
          </w:p>
        </w:tc>
      </w:tr>
      <w:tr w:rsidR="00B87985" w:rsidRPr="00967BB4" w:rsidTr="003923BC">
        <w:trPr>
          <w:jc w:val="center"/>
        </w:trPr>
        <w:tc>
          <w:tcPr>
            <w:tcW w:w="4606" w:type="dxa"/>
          </w:tcPr>
          <w:p w:rsidR="00B87985" w:rsidRPr="00967BB4" w:rsidRDefault="00B87985" w:rsidP="00967BB4">
            <w:pPr>
              <w:spacing w:line="276" w:lineRule="auto"/>
              <w:jc w:val="center"/>
            </w:pPr>
            <w:r w:rsidRPr="00967BB4">
              <w:t>2008-2010</w:t>
            </w:r>
          </w:p>
        </w:tc>
        <w:tc>
          <w:tcPr>
            <w:tcW w:w="4606" w:type="dxa"/>
          </w:tcPr>
          <w:p w:rsidR="00B87985" w:rsidRPr="00967BB4" w:rsidRDefault="00B87985" w:rsidP="00967BB4">
            <w:pPr>
              <w:spacing w:line="276" w:lineRule="auto"/>
              <w:jc w:val="center"/>
            </w:pPr>
            <w:r w:rsidRPr="00967BB4">
              <w:t>2,75%</w:t>
            </w:r>
          </w:p>
        </w:tc>
      </w:tr>
      <w:tr w:rsidR="00B87985" w:rsidRPr="00967BB4" w:rsidTr="003923BC">
        <w:trPr>
          <w:jc w:val="center"/>
        </w:trPr>
        <w:tc>
          <w:tcPr>
            <w:tcW w:w="4606" w:type="dxa"/>
          </w:tcPr>
          <w:p w:rsidR="00B87985" w:rsidRPr="00967BB4" w:rsidRDefault="00B87985" w:rsidP="00967BB4">
            <w:pPr>
              <w:spacing w:line="276" w:lineRule="auto"/>
              <w:jc w:val="center"/>
            </w:pPr>
            <w:r w:rsidRPr="00967BB4">
              <w:t>2010-2012</w:t>
            </w:r>
          </w:p>
        </w:tc>
        <w:tc>
          <w:tcPr>
            <w:tcW w:w="4606" w:type="dxa"/>
          </w:tcPr>
          <w:p w:rsidR="00B87985" w:rsidRPr="00967BB4" w:rsidRDefault="00B87985" w:rsidP="00967BB4">
            <w:pPr>
              <w:spacing w:line="276" w:lineRule="auto"/>
              <w:jc w:val="center"/>
            </w:pPr>
            <w:r w:rsidRPr="00967BB4">
              <w:t>15,28%</w:t>
            </w:r>
          </w:p>
        </w:tc>
      </w:tr>
      <w:tr w:rsidR="00B87985" w:rsidRPr="00967BB4" w:rsidTr="003923BC">
        <w:trPr>
          <w:jc w:val="center"/>
        </w:trPr>
        <w:tc>
          <w:tcPr>
            <w:tcW w:w="4606" w:type="dxa"/>
          </w:tcPr>
          <w:p w:rsidR="00B87985" w:rsidRPr="00967BB4" w:rsidRDefault="00B87985" w:rsidP="00967BB4">
            <w:pPr>
              <w:spacing w:line="276" w:lineRule="auto"/>
              <w:jc w:val="center"/>
            </w:pPr>
            <w:r w:rsidRPr="00967BB4">
              <w:t>2012-2014</w:t>
            </w:r>
          </w:p>
        </w:tc>
        <w:tc>
          <w:tcPr>
            <w:tcW w:w="4606" w:type="dxa"/>
          </w:tcPr>
          <w:p w:rsidR="00B87985" w:rsidRPr="00967BB4" w:rsidRDefault="00B87985" w:rsidP="00967BB4">
            <w:pPr>
              <w:spacing w:line="276" w:lineRule="auto"/>
              <w:jc w:val="center"/>
            </w:pPr>
            <w:r w:rsidRPr="00967BB4">
              <w:t>-11,85%</w:t>
            </w:r>
          </w:p>
        </w:tc>
      </w:tr>
      <w:tr w:rsidR="00B87985" w:rsidRPr="00967BB4" w:rsidTr="003923BC">
        <w:trPr>
          <w:jc w:val="center"/>
        </w:trPr>
        <w:tc>
          <w:tcPr>
            <w:tcW w:w="4606" w:type="dxa"/>
          </w:tcPr>
          <w:p w:rsidR="00B87985" w:rsidRPr="00967BB4" w:rsidRDefault="00B87985" w:rsidP="00967BB4">
            <w:pPr>
              <w:spacing w:line="276" w:lineRule="auto"/>
              <w:jc w:val="center"/>
            </w:pPr>
            <w:r w:rsidRPr="00967BB4">
              <w:t>2008-2014</w:t>
            </w:r>
          </w:p>
        </w:tc>
        <w:tc>
          <w:tcPr>
            <w:tcW w:w="4606" w:type="dxa"/>
          </w:tcPr>
          <w:p w:rsidR="00B87985" w:rsidRPr="00967BB4" w:rsidRDefault="00B87985" w:rsidP="00967BB4">
            <w:pPr>
              <w:spacing w:line="276" w:lineRule="auto"/>
              <w:jc w:val="center"/>
            </w:pPr>
            <w:r w:rsidRPr="00967BB4">
              <w:t>4,73%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967BB4">
      <w:pPr>
        <w:shd w:val="clear" w:color="auto" w:fill="FFFFFF"/>
        <w:spacing w:after="0"/>
        <w:jc w:val="both"/>
      </w:pPr>
    </w:p>
    <w:p w:rsidR="002C459B" w:rsidRPr="00967BB4" w:rsidRDefault="002C459B" w:rsidP="00967BB4">
      <w:pPr>
        <w:shd w:val="clear" w:color="auto" w:fill="FFFFFF"/>
        <w:spacing w:after="0"/>
        <w:jc w:val="both"/>
      </w:pPr>
      <w:r w:rsidRPr="00967BB4">
        <w:t xml:space="preserve">Analogicznie jak w poprzednim podrozdziale, zostały obliczone tempa wzrostu ważone regionami dla 4 okresów czasowych. W całym okresie analizy, tj. w latach 2008-2014 koszty uzyskania przychodu z całokształtu działalności przedsiębiorstw z branży budowlanej wzrosły o 4,73%. Największy procentowy wzrost kosztów uzyskania przychodu miał miejsce w latach 2010-2012 i wynosił 15,28%. W latach 2012-2014 przedsiębiorstwa branży budowlanej odnotowały spadek kosztów uzyskania przychodu o 11,85%. </w:t>
      </w:r>
    </w:p>
    <w:p w:rsidR="002C459B" w:rsidRPr="00967BB4" w:rsidRDefault="00EB1258" w:rsidP="00967BB4">
      <w:pPr>
        <w:shd w:val="clear" w:color="auto" w:fill="FFFFFF"/>
        <w:spacing w:after="0"/>
        <w:jc w:val="both"/>
      </w:pPr>
      <w:r w:rsidRPr="00967BB4">
        <w:t>Przeprowadzając  szczegółową analizę</w:t>
      </w:r>
      <w:r w:rsidR="002C459B" w:rsidRPr="00967BB4">
        <w:t xml:space="preserve"> zmian struktu</w:t>
      </w:r>
      <w:r w:rsidR="007A70F4" w:rsidRPr="00967BB4">
        <w:t>ralnych (sektorowych) w tabeli 6</w:t>
      </w:r>
      <w:r w:rsidR="002C459B" w:rsidRPr="00967BB4">
        <w:t xml:space="preserve"> przedstawiono strukturalny czynnik wzrostu. Strukturalny czynnik wzrostu został obliczony dla </w:t>
      </w:r>
      <w:r w:rsidRPr="00967BB4">
        <w:t>czterech</w:t>
      </w:r>
      <w:r w:rsidR="002C459B" w:rsidRPr="00967BB4">
        <w:t xml:space="preserve"> składowych </w:t>
      </w:r>
      <w:r w:rsidR="007A70F4" w:rsidRPr="00967BB4">
        <w:t>kosztów uzyskania przychodu</w:t>
      </w:r>
      <w:r w:rsidR="002C459B" w:rsidRPr="00967BB4">
        <w:t xml:space="preserve"> z całokształtu działalnośc</w:t>
      </w:r>
      <w:r w:rsidRPr="00967BB4">
        <w:t>i (por. tabela 6)</w:t>
      </w:r>
      <w:r w:rsidR="007A70F4" w:rsidRPr="00967BB4">
        <w:t>.</w:t>
      </w:r>
      <w:r w:rsidR="002C459B" w:rsidRPr="00967BB4">
        <w:t xml:space="preserve"> </w:t>
      </w:r>
    </w:p>
    <w:p w:rsidR="00DC7166" w:rsidRPr="00967BB4" w:rsidRDefault="00DC7166" w:rsidP="00967BB4">
      <w:pPr>
        <w:shd w:val="clear" w:color="auto" w:fill="FFFFFF"/>
        <w:spacing w:after="0"/>
      </w:pPr>
    </w:p>
    <w:p w:rsidR="007A70F4" w:rsidRPr="00967BB4" w:rsidRDefault="007A70F4" w:rsidP="00967BB4">
      <w:pPr>
        <w:shd w:val="clear" w:color="auto" w:fill="FFFFFF"/>
        <w:spacing w:after="0"/>
      </w:pPr>
      <w:r w:rsidRPr="00967BB4">
        <w:t xml:space="preserve">Tabela 6. Sektorowy (strukturalny) czynnik wzrostu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4"/>
        <w:gridCol w:w="1954"/>
        <w:gridCol w:w="1938"/>
        <w:gridCol w:w="1914"/>
        <w:gridCol w:w="1608"/>
      </w:tblGrid>
      <w:tr w:rsidR="002C459B" w:rsidRPr="00967BB4" w:rsidTr="00335D9C">
        <w:tc>
          <w:tcPr>
            <w:tcW w:w="1874" w:type="dxa"/>
          </w:tcPr>
          <w:p w:rsidR="002C459B" w:rsidRPr="00967BB4" w:rsidRDefault="002C459B" w:rsidP="00D20F95">
            <w:pPr>
              <w:jc w:val="center"/>
            </w:pPr>
            <w:r w:rsidRPr="00967BB4">
              <w:t>Przedział czasowy</w:t>
            </w:r>
          </w:p>
        </w:tc>
        <w:tc>
          <w:tcPr>
            <w:tcW w:w="1954" w:type="dxa"/>
          </w:tcPr>
          <w:p w:rsidR="002C459B" w:rsidRPr="00967BB4" w:rsidRDefault="002C459B" w:rsidP="00D20F95">
            <w:pPr>
              <w:jc w:val="center"/>
            </w:pPr>
            <w:r w:rsidRPr="00967BB4">
              <w:t>koszt własny sprzedanych produktów</w:t>
            </w:r>
          </w:p>
        </w:tc>
        <w:tc>
          <w:tcPr>
            <w:tcW w:w="1938" w:type="dxa"/>
          </w:tcPr>
          <w:p w:rsidR="002C459B" w:rsidRPr="00967BB4" w:rsidRDefault="002C459B" w:rsidP="00D20F95">
            <w:pPr>
              <w:jc w:val="center"/>
            </w:pPr>
            <w:r w:rsidRPr="00967BB4">
              <w:t>wartość sprzedanych towarów i materiałów</w:t>
            </w:r>
          </w:p>
        </w:tc>
        <w:tc>
          <w:tcPr>
            <w:tcW w:w="1914" w:type="dxa"/>
          </w:tcPr>
          <w:p w:rsidR="002C459B" w:rsidRPr="00967BB4" w:rsidRDefault="002C459B" w:rsidP="00D20F95">
            <w:pPr>
              <w:jc w:val="center"/>
            </w:pPr>
            <w:r w:rsidRPr="00967BB4">
              <w:t>koszty finansowe</w:t>
            </w:r>
          </w:p>
        </w:tc>
        <w:tc>
          <w:tcPr>
            <w:tcW w:w="1608" w:type="dxa"/>
          </w:tcPr>
          <w:p w:rsidR="002C459B" w:rsidRPr="00967BB4" w:rsidRDefault="002C459B" w:rsidP="00D20F95">
            <w:pPr>
              <w:jc w:val="center"/>
            </w:pPr>
            <w:r w:rsidRPr="00967BB4">
              <w:t>pozostałe koszty operacyjne</w:t>
            </w:r>
          </w:p>
        </w:tc>
      </w:tr>
      <w:tr w:rsidR="002C459B" w:rsidRPr="00967BB4" w:rsidTr="00335D9C">
        <w:tc>
          <w:tcPr>
            <w:tcW w:w="1874" w:type="dxa"/>
          </w:tcPr>
          <w:p w:rsidR="002C459B" w:rsidRPr="00967BB4" w:rsidRDefault="002C459B" w:rsidP="00967BB4">
            <w:pPr>
              <w:spacing w:line="276" w:lineRule="auto"/>
            </w:pPr>
            <w:r w:rsidRPr="00967BB4">
              <w:t>2008-2010</w:t>
            </w:r>
          </w:p>
        </w:tc>
        <w:tc>
          <w:tcPr>
            <w:tcW w:w="1954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4%</w:t>
            </w:r>
          </w:p>
        </w:tc>
        <w:tc>
          <w:tcPr>
            <w:tcW w:w="1938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-19%</w:t>
            </w:r>
          </w:p>
        </w:tc>
        <w:tc>
          <w:tcPr>
            <w:tcW w:w="1914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-13%</w:t>
            </w:r>
          </w:p>
        </w:tc>
        <w:tc>
          <w:tcPr>
            <w:tcW w:w="1608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-11%</w:t>
            </w:r>
          </w:p>
        </w:tc>
      </w:tr>
      <w:tr w:rsidR="002C459B" w:rsidRPr="00967BB4" w:rsidTr="00335D9C">
        <w:tc>
          <w:tcPr>
            <w:tcW w:w="1874" w:type="dxa"/>
          </w:tcPr>
          <w:p w:rsidR="002C459B" w:rsidRPr="00967BB4" w:rsidRDefault="002C459B" w:rsidP="00967BB4">
            <w:pPr>
              <w:spacing w:line="276" w:lineRule="auto"/>
            </w:pPr>
            <w:r w:rsidRPr="00967BB4">
              <w:t>2010-2012</w:t>
            </w:r>
          </w:p>
        </w:tc>
        <w:tc>
          <w:tcPr>
            <w:tcW w:w="1954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13%</w:t>
            </w:r>
          </w:p>
        </w:tc>
        <w:tc>
          <w:tcPr>
            <w:tcW w:w="1938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10%</w:t>
            </w:r>
          </w:p>
        </w:tc>
        <w:tc>
          <w:tcPr>
            <w:tcW w:w="1914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95%</w:t>
            </w:r>
          </w:p>
        </w:tc>
        <w:tc>
          <w:tcPr>
            <w:tcW w:w="1608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89%</w:t>
            </w:r>
          </w:p>
        </w:tc>
      </w:tr>
      <w:tr w:rsidR="002C459B" w:rsidRPr="00967BB4" w:rsidTr="00335D9C">
        <w:tc>
          <w:tcPr>
            <w:tcW w:w="1874" w:type="dxa"/>
          </w:tcPr>
          <w:p w:rsidR="002C459B" w:rsidRPr="00967BB4" w:rsidRDefault="002C459B" w:rsidP="00967BB4">
            <w:pPr>
              <w:spacing w:line="276" w:lineRule="auto"/>
            </w:pPr>
            <w:r w:rsidRPr="00967BB4">
              <w:t>2012-2014</w:t>
            </w:r>
          </w:p>
        </w:tc>
        <w:tc>
          <w:tcPr>
            <w:tcW w:w="1954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-12%</w:t>
            </w:r>
          </w:p>
        </w:tc>
        <w:tc>
          <w:tcPr>
            <w:tcW w:w="1938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9%</w:t>
            </w:r>
          </w:p>
        </w:tc>
        <w:tc>
          <w:tcPr>
            <w:tcW w:w="1914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-10%</w:t>
            </w:r>
          </w:p>
        </w:tc>
        <w:tc>
          <w:tcPr>
            <w:tcW w:w="1608" w:type="dxa"/>
            <w:vAlign w:val="bottom"/>
          </w:tcPr>
          <w:p w:rsidR="002C459B" w:rsidRPr="00967BB4" w:rsidRDefault="002C459B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-15%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967BB4">
      <w:pPr>
        <w:shd w:val="clear" w:color="auto" w:fill="FFFFFF"/>
        <w:spacing w:after="0"/>
        <w:jc w:val="both"/>
      </w:pPr>
    </w:p>
    <w:p w:rsidR="007A70F4" w:rsidRPr="00967BB4" w:rsidRDefault="007A70F4" w:rsidP="00967BB4">
      <w:pPr>
        <w:shd w:val="clear" w:color="auto" w:fill="FFFFFF"/>
        <w:spacing w:after="0"/>
        <w:jc w:val="both"/>
      </w:pPr>
      <w:r w:rsidRPr="00967BB4">
        <w:t xml:space="preserve">Rozpatrując zmiany strukturalne w obszarze kosztów uzyskania przychodów przedsiębiorstw branży budowlanej, możemy zauważyć, że w latach 2010-2012 nastąpił wzrost kosztów w każdej strukturze kosztów uzyskania przychodu. </w:t>
      </w:r>
    </w:p>
    <w:p w:rsidR="007A70F4" w:rsidRPr="00967BB4" w:rsidRDefault="007A70F4" w:rsidP="00967BB4">
      <w:pPr>
        <w:shd w:val="clear" w:color="auto" w:fill="FFFFFF"/>
        <w:spacing w:after="0"/>
        <w:jc w:val="both"/>
      </w:pPr>
      <w:r w:rsidRPr="00967BB4">
        <w:lastRenderedPageBreak/>
        <w:t>W następnym kroku badawczym, obliczono równość strukturalno-geograficzną, przedstawiającą całkowity efekt zmian jakie miały miejsce w badanych okresach – por. tabelę 7.</w:t>
      </w:r>
    </w:p>
    <w:p w:rsidR="00EF150B" w:rsidRDefault="00EF150B" w:rsidP="00967BB4">
      <w:pPr>
        <w:shd w:val="clear" w:color="auto" w:fill="FFFFFF"/>
        <w:spacing w:after="0"/>
      </w:pPr>
    </w:p>
    <w:p w:rsidR="007A70F4" w:rsidRPr="00967BB4" w:rsidRDefault="007A70F4" w:rsidP="00967BB4">
      <w:pPr>
        <w:shd w:val="clear" w:color="auto" w:fill="FFFFFF"/>
        <w:spacing w:after="0"/>
      </w:pPr>
      <w:r w:rsidRPr="00967BB4">
        <w:t>Tabela 7. Równość strukturalno-geograficzna (efekt całkowity)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6"/>
        <w:gridCol w:w="1452"/>
        <w:gridCol w:w="1196"/>
        <w:gridCol w:w="1194"/>
        <w:gridCol w:w="1214"/>
      </w:tblGrid>
      <w:tr w:rsidR="00B87985" w:rsidRPr="00967BB4" w:rsidTr="00AD3D32">
        <w:trPr>
          <w:trHeight w:val="285"/>
          <w:tblHeader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9A7A3D" w:rsidP="009A7A3D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województw</w:t>
            </w:r>
            <w:r>
              <w:rPr>
                <w:rFonts w:eastAsia="Times New Roman" w:cs="Arial"/>
                <w:color w:val="000000"/>
                <w:lang w:eastAsia="pl-PL"/>
              </w:rPr>
              <w:t>o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2008-2010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2010-2012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2012-2014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D20F95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2008-2014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OPOLSKIE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19,07%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-18,99%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30,01%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33%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PODLASKIE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10,57%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-5,63%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22,23%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33%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POMORSKIE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-10,10%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2,54%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20,77%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15%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KUJAWSKO-POMORSKIE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7,36%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-12,96%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13,24%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10%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MAZOWIECKIE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-2,25%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11,97%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-2,59%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6%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DOLNOŚLĄSKIE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10,01%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1,23%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-5,72%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4%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PODKARPACKIE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5,11%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-23,61%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17,59%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0%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ZACHODNIOPOMORSKIE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13,82%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-30,71%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15,81%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-2%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ŚLĄSKIE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-9,07%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15,90%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-5,59%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-6%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MAŁOPOLSKIE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4,42%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-7,26%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-2,92%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-7%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ŁÓDZKIE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1,50%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-18,24%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1,83%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-14%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WIELKOPOLSKIE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2,19%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-14,85%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-2,61%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-14%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ŚWIĘTOKRZYSKIE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14,04%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-19,12%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-7,32%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-15%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LUBELSKIE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0,80%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6,22%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-20,16%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-19%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WARMIŃSKO-MAZURSKIE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-6,69%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-23,50%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-4,43%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-30%</w:t>
            </w:r>
          </w:p>
        </w:tc>
      </w:tr>
      <w:tr w:rsidR="00B87985" w:rsidRPr="00967BB4" w:rsidTr="00B87985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 xml:space="preserve"> LUBUSKIE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-17,47%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-52,84%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14,26%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B87985" w:rsidRPr="00D20F95" w:rsidRDefault="00B87985" w:rsidP="00967BB4">
            <w:pPr>
              <w:spacing w:after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D20F95">
              <w:rPr>
                <w:rFonts w:eastAsia="Times New Roman" w:cs="Arial"/>
                <w:color w:val="000000"/>
                <w:lang w:eastAsia="pl-PL"/>
              </w:rPr>
              <w:t>-50%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967BB4">
      <w:pPr>
        <w:shd w:val="clear" w:color="auto" w:fill="FFFFFF"/>
        <w:spacing w:after="0"/>
        <w:jc w:val="both"/>
      </w:pPr>
    </w:p>
    <w:p w:rsidR="007A70F4" w:rsidRPr="00967BB4" w:rsidRDefault="007A70F4" w:rsidP="00967BB4">
      <w:pPr>
        <w:shd w:val="clear" w:color="auto" w:fill="FFFFFF"/>
        <w:spacing w:after="0"/>
        <w:jc w:val="both"/>
      </w:pPr>
      <w:r w:rsidRPr="00967BB4">
        <w:t xml:space="preserve">W tabeli 7, w kolumnie oznaczonej 2008-2014, zaprezentowano posortowanie malejące wartości zmian procentowych dla okresu 7 lat. W okresie tym przedsiębiorstwa branży budowlanej z trzech województw osiągnęły ponad 10% wzrost  efektu całkowitego. Do województw tych należą opolskie (wzrost </w:t>
      </w:r>
      <w:r w:rsidR="00EB1258" w:rsidRPr="00967BB4">
        <w:t xml:space="preserve">o </w:t>
      </w:r>
      <w:r w:rsidRPr="00967BB4">
        <w:t>33%), podlaskie (</w:t>
      </w:r>
      <w:r w:rsidR="00EB1258" w:rsidRPr="00967BB4">
        <w:t xml:space="preserve">wzrost o </w:t>
      </w:r>
      <w:r w:rsidRPr="00967BB4">
        <w:t>33%) oraz pomorskie (</w:t>
      </w:r>
      <w:r w:rsidR="00EB1258" w:rsidRPr="00967BB4">
        <w:t xml:space="preserve">wzrost o </w:t>
      </w:r>
      <w:r w:rsidRPr="00967BB4">
        <w:t xml:space="preserve">15%).  </w:t>
      </w:r>
      <w:r w:rsidR="00EB1258" w:rsidRPr="00967BB4">
        <w:t xml:space="preserve">Odmienna </w:t>
      </w:r>
      <w:r w:rsidRPr="00967BB4">
        <w:t>sytuacja miała miejsce w województwie lubuskim, w którym przedsiębiorstwa budowlane zanotowały 50 spadek efektu całkowitego.</w:t>
      </w:r>
    </w:p>
    <w:p w:rsidR="007A70F4" w:rsidRPr="00967BB4" w:rsidRDefault="007A70F4" w:rsidP="00967BB4">
      <w:pPr>
        <w:shd w:val="clear" w:color="auto" w:fill="FFFFFF"/>
        <w:spacing w:after="0"/>
        <w:jc w:val="both"/>
      </w:pPr>
      <w:r w:rsidRPr="00967BB4">
        <w:t>Podejmując próby bardziej szczegółowej analizy zmian jakie zanotowały przedsiębiorstwa budowlane w zmianach osiąganego efektu całkowitego, dodatkowo obliczono efekty strukturalne oraz geograficzne – por. tabela 8.</w:t>
      </w:r>
      <w:r w:rsidRPr="00967BB4">
        <w:rPr>
          <w:b/>
        </w:rPr>
        <w:t xml:space="preserve">  </w:t>
      </w:r>
      <w:r w:rsidRPr="00967BB4">
        <w:t xml:space="preserve">Wzrost efektu całkowitego dla województwa opolskiego, spowodowany był w minimalnym stopniu zmianami w strukturze </w:t>
      </w:r>
      <w:r w:rsidR="006755C7" w:rsidRPr="00967BB4">
        <w:t>kosztów</w:t>
      </w:r>
      <w:r w:rsidRPr="00967BB4">
        <w:t xml:space="preserve"> </w:t>
      </w:r>
      <w:r w:rsidR="006755C7" w:rsidRPr="00967BB4">
        <w:t>uzyskania</w:t>
      </w:r>
      <w:r w:rsidRPr="00967BB4">
        <w:t xml:space="preserve"> </w:t>
      </w:r>
      <w:r w:rsidR="006755C7" w:rsidRPr="00967BB4">
        <w:t>przychodu</w:t>
      </w:r>
      <w:r w:rsidRPr="00967BB4">
        <w:t xml:space="preserve"> z całokształtu działalności (-1,47%), a w znacząco większym stopniu przez zmiany wewnętrzne związane z konkurencyjnością danego obszar</w:t>
      </w:r>
      <w:r w:rsidR="006755C7" w:rsidRPr="00967BB4">
        <w:t>u (</w:t>
      </w:r>
      <w:r w:rsidRPr="00967BB4">
        <w:t>34,</w:t>
      </w:r>
      <w:r w:rsidR="006755C7" w:rsidRPr="00967BB4">
        <w:t>55</w:t>
      </w:r>
      <w:r w:rsidRPr="00967BB4">
        <w:t>%).</w:t>
      </w:r>
    </w:p>
    <w:p w:rsidR="00EF150B" w:rsidRDefault="00EF150B" w:rsidP="00967BB4">
      <w:pPr>
        <w:shd w:val="clear" w:color="auto" w:fill="FFFFFF"/>
        <w:spacing w:after="0"/>
      </w:pPr>
    </w:p>
    <w:p w:rsidR="00EE29E3" w:rsidRPr="00967BB4" w:rsidRDefault="007A70F4" w:rsidP="00967BB4">
      <w:pPr>
        <w:shd w:val="clear" w:color="auto" w:fill="FFFFFF"/>
        <w:spacing w:after="0"/>
      </w:pPr>
      <w:r w:rsidRPr="00967BB4">
        <w:t xml:space="preserve">Tabela 8. </w:t>
      </w:r>
      <w:r w:rsidR="00EE29E3" w:rsidRPr="00967BB4">
        <w:t xml:space="preserve">Wyniki analizy </w:t>
      </w:r>
      <w:proofErr w:type="spellStart"/>
      <w:r w:rsidR="00EE29E3" w:rsidRPr="00967BB4">
        <w:t>shift-share</w:t>
      </w:r>
      <w:proofErr w:type="spellEnd"/>
      <w:r w:rsidR="00EE29E3" w:rsidRPr="00967BB4">
        <w:t xml:space="preserve"> 2008-2014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1514"/>
        <w:gridCol w:w="1879"/>
        <w:gridCol w:w="1940"/>
      </w:tblGrid>
      <w:tr w:rsidR="00B87985" w:rsidRPr="00967BB4" w:rsidTr="00AD3D32">
        <w:trPr>
          <w:trHeight w:val="315"/>
          <w:tblHeader/>
        </w:trPr>
        <w:tc>
          <w:tcPr>
            <w:tcW w:w="2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85" w:rsidRPr="00967BB4" w:rsidRDefault="009A7A3D" w:rsidP="00967BB4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województw</w:t>
            </w:r>
            <w:r>
              <w:rPr>
                <w:rFonts w:eastAsia="Times New Roman" w:cs="Arial"/>
                <w:color w:val="000000"/>
                <w:lang w:eastAsia="pl-PL"/>
              </w:rPr>
              <w:t>o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lang w:eastAsia="pl-PL"/>
              </w:rPr>
              <w:t>całkowity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85" w:rsidRPr="00967BB4" w:rsidRDefault="00B87985" w:rsidP="00967BB4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lang w:eastAsia="pl-PL"/>
              </w:rPr>
              <w:t>strukturalny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85" w:rsidRPr="00967BB4" w:rsidRDefault="007A70F4" w:rsidP="00967BB4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lang w:eastAsia="pl-PL"/>
              </w:rPr>
              <w:t>g</w:t>
            </w:r>
            <w:r w:rsidR="00B87985" w:rsidRPr="00967BB4">
              <w:rPr>
                <w:rFonts w:eastAsia="Times New Roman" w:cs="Arial"/>
                <w:lang w:eastAsia="pl-PL"/>
              </w:rPr>
              <w:t>eograficzny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OPOLSKIE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32,98%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-1,47%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34,55%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PODLASKIE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32,81%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-1,39%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32,79%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POMORSKIE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14,83%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-1,26%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14,39%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KUJAWSKO-POMORSKIE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10,01%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-1,41%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9,88%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MAZOWIECKIE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6,26%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0,38%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5,20%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DOLNOŚLĄSKIE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3,63%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-1,45%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3,17%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lastRenderedPageBreak/>
              <w:t xml:space="preserve"> PODKARPACKIE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-0,22%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-1,75%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1,46%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ZACHODNIOPOMORSKIE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-1,58%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-0,94%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-1,25%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ŚLĄSKIE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-6,10%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-1,62%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-4,41%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MAŁOPOLSKIE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-6,52%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-1,36%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-5,22%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ŁÓDZKIE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-13,71%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-1,41%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-12,75%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WIELKOPOLSKIE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-14,20%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-1,15%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-14,19%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ŚWIĘTOKRZYSKIE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-14,67%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0,23%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-14,95%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LUBELSKIE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-18,96%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-1,64%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-18,45%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WARMIŃSKO-MAZURSKIE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-30,40%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-1,57%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-29,61%</w:t>
            </w:r>
          </w:p>
        </w:tc>
      </w:tr>
      <w:tr w:rsidR="001A4CB4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967BB4">
            <w:pPr>
              <w:spacing w:after="0"/>
              <w:rPr>
                <w:rFonts w:cs="Arial"/>
              </w:rPr>
            </w:pPr>
            <w:r w:rsidRPr="00967BB4">
              <w:rPr>
                <w:rFonts w:cs="Arial"/>
              </w:rPr>
              <w:t xml:space="preserve"> LUBUSKIE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-50,12%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-1,57%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CB4" w:rsidRPr="00967BB4" w:rsidRDefault="001A4CB4" w:rsidP="00D20F95">
            <w:pPr>
              <w:spacing w:after="0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-47,08%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967BB4">
      <w:pPr>
        <w:shd w:val="clear" w:color="auto" w:fill="FFFFFF"/>
        <w:spacing w:after="0"/>
        <w:rPr>
          <w:b/>
        </w:rPr>
      </w:pPr>
    </w:p>
    <w:p w:rsidR="00AD526A" w:rsidRPr="00967BB4" w:rsidRDefault="00D169FA" w:rsidP="00967BB4">
      <w:pPr>
        <w:shd w:val="clear" w:color="auto" w:fill="FFFFFF"/>
        <w:spacing w:after="0"/>
      </w:pPr>
      <w:r>
        <w:rPr>
          <w:b/>
        </w:rPr>
        <w:t>I</w:t>
      </w:r>
      <w:r w:rsidR="00AD526A" w:rsidRPr="00967BB4">
        <w:rPr>
          <w:b/>
        </w:rPr>
        <w:t xml:space="preserve">V.III. </w:t>
      </w:r>
      <w:r w:rsidR="003923BC" w:rsidRPr="00967BB4">
        <w:rPr>
          <w:b/>
        </w:rPr>
        <w:t>Zapasy</w:t>
      </w:r>
      <w:r w:rsidR="003923BC" w:rsidRPr="00967BB4">
        <w:t xml:space="preserve"> </w:t>
      </w:r>
    </w:p>
    <w:p w:rsidR="00EB1258" w:rsidRPr="00967BB4" w:rsidRDefault="00EB1258" w:rsidP="00967BB4">
      <w:pPr>
        <w:shd w:val="clear" w:color="auto" w:fill="FFFFFF"/>
        <w:spacing w:after="0"/>
        <w:jc w:val="both"/>
      </w:pPr>
      <w:r w:rsidRPr="00967BB4">
        <w:t>Składowe zapasów, zdefiniowano jako:</w:t>
      </w:r>
    </w:p>
    <w:p w:rsidR="00EB1258" w:rsidRPr="00967BB4" w:rsidRDefault="00EB1258" w:rsidP="00EF150B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 xml:space="preserve">zapasy –materiały, </w:t>
      </w:r>
    </w:p>
    <w:p w:rsidR="00EB1258" w:rsidRPr="00967BB4" w:rsidRDefault="00EB1258" w:rsidP="00EF150B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>zapasy – półprodukty i produkty w toku,</w:t>
      </w:r>
    </w:p>
    <w:p w:rsidR="00EB1258" w:rsidRPr="00967BB4" w:rsidRDefault="00EB1258" w:rsidP="00EF150B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>zapasy – produkty gotowe,</w:t>
      </w:r>
    </w:p>
    <w:p w:rsidR="00EB1258" w:rsidRPr="00967BB4" w:rsidRDefault="00EB1258" w:rsidP="00EF150B">
      <w:pPr>
        <w:pStyle w:val="Akapitzlist"/>
        <w:numPr>
          <w:ilvl w:val="0"/>
          <w:numId w:val="4"/>
        </w:numPr>
        <w:shd w:val="clear" w:color="auto" w:fill="FFFFFF"/>
        <w:spacing w:after="0"/>
        <w:ind w:left="567"/>
        <w:jc w:val="both"/>
      </w:pPr>
      <w:r w:rsidRPr="00967BB4">
        <w:t>zapasy – towary.</w:t>
      </w:r>
    </w:p>
    <w:p w:rsidR="00EB1258" w:rsidRPr="00967BB4" w:rsidRDefault="00EB1258" w:rsidP="00967BB4">
      <w:pPr>
        <w:shd w:val="clear" w:color="auto" w:fill="FFFFFF"/>
        <w:spacing w:after="0"/>
        <w:jc w:val="both"/>
      </w:pPr>
      <w:r w:rsidRPr="00967BB4">
        <w:t>Interpretacja uz</w:t>
      </w:r>
      <w:r w:rsidR="007D2074">
        <w:t xml:space="preserve">yskanych wyników  uwzględnia </w:t>
      </w:r>
      <w:proofErr w:type="spellStart"/>
      <w:r w:rsidR="007D2074">
        <w:t>de</w:t>
      </w:r>
      <w:r w:rsidRPr="00967BB4">
        <w:t>stymulujący</w:t>
      </w:r>
      <w:proofErr w:type="spellEnd"/>
      <w:r w:rsidRPr="00967BB4">
        <w:t xml:space="preserve">  wpływ badanej zmiennej na działalność przedsiębiorstwa.</w:t>
      </w:r>
    </w:p>
    <w:p w:rsidR="00D16B56" w:rsidRDefault="00D16B56" w:rsidP="00967BB4">
      <w:pPr>
        <w:shd w:val="clear" w:color="auto" w:fill="FFFFFF"/>
        <w:spacing w:after="0"/>
        <w:jc w:val="both"/>
      </w:pPr>
      <w:r w:rsidRPr="00967BB4">
        <w:t xml:space="preserve">W tabeli 9 wyznaczono tempa wzrostu kosztów uzyskania z całokształtu działalności w ujęciu krajowym. </w:t>
      </w:r>
    </w:p>
    <w:p w:rsidR="00EF150B" w:rsidRPr="00967BB4" w:rsidRDefault="00EF150B" w:rsidP="00967BB4">
      <w:pPr>
        <w:shd w:val="clear" w:color="auto" w:fill="FFFFFF"/>
        <w:spacing w:after="0"/>
        <w:jc w:val="both"/>
      </w:pPr>
    </w:p>
    <w:p w:rsidR="00D16B56" w:rsidRPr="00967BB4" w:rsidRDefault="00D16B56" w:rsidP="00967BB4">
      <w:pPr>
        <w:shd w:val="clear" w:color="auto" w:fill="FFFFFF"/>
        <w:spacing w:after="0"/>
      </w:pPr>
      <w:r w:rsidRPr="00967BB4">
        <w:t xml:space="preserve">Tabela 9. Tempo wzrostu ważone sektorami </w:t>
      </w:r>
      <w:r w:rsidR="0081359B" w:rsidRPr="00967BB4">
        <w:t>zapasów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3923BC" w:rsidRPr="00967BB4" w:rsidTr="00D16B56">
        <w:trPr>
          <w:tblHeader/>
          <w:jc w:val="center"/>
        </w:trPr>
        <w:tc>
          <w:tcPr>
            <w:tcW w:w="4606" w:type="dxa"/>
          </w:tcPr>
          <w:p w:rsidR="003923BC" w:rsidRPr="00967BB4" w:rsidRDefault="003923BC" w:rsidP="00967BB4">
            <w:pPr>
              <w:spacing w:line="276" w:lineRule="auto"/>
              <w:jc w:val="center"/>
            </w:pPr>
            <w:r w:rsidRPr="00967BB4">
              <w:t>Lata</w:t>
            </w:r>
          </w:p>
        </w:tc>
        <w:tc>
          <w:tcPr>
            <w:tcW w:w="4606" w:type="dxa"/>
          </w:tcPr>
          <w:p w:rsidR="003923BC" w:rsidRPr="00967BB4" w:rsidRDefault="003923BC" w:rsidP="00967BB4">
            <w:pPr>
              <w:spacing w:line="276" w:lineRule="auto"/>
              <w:jc w:val="center"/>
            </w:pPr>
            <w:r w:rsidRPr="00967BB4">
              <w:t>Tempo wzrostu w kraju (koszty z całokształtu działalności)</w:t>
            </w:r>
          </w:p>
        </w:tc>
      </w:tr>
      <w:tr w:rsidR="003923BC" w:rsidRPr="00967BB4" w:rsidTr="003923BC">
        <w:trPr>
          <w:jc w:val="center"/>
        </w:trPr>
        <w:tc>
          <w:tcPr>
            <w:tcW w:w="4606" w:type="dxa"/>
          </w:tcPr>
          <w:p w:rsidR="003923BC" w:rsidRPr="00967BB4" w:rsidRDefault="003923BC" w:rsidP="00967BB4">
            <w:pPr>
              <w:spacing w:line="276" w:lineRule="auto"/>
              <w:jc w:val="center"/>
            </w:pPr>
            <w:r w:rsidRPr="00967BB4">
              <w:t>2008-2010</w:t>
            </w:r>
          </w:p>
        </w:tc>
        <w:tc>
          <w:tcPr>
            <w:tcW w:w="4606" w:type="dxa"/>
          </w:tcPr>
          <w:p w:rsidR="003923BC" w:rsidRPr="00967BB4" w:rsidRDefault="003923BC" w:rsidP="00967BB4">
            <w:pPr>
              <w:spacing w:line="276" w:lineRule="auto"/>
              <w:jc w:val="center"/>
            </w:pPr>
            <w:r w:rsidRPr="00967BB4">
              <w:t>-5,68%</w:t>
            </w:r>
          </w:p>
        </w:tc>
      </w:tr>
      <w:tr w:rsidR="003923BC" w:rsidRPr="00967BB4" w:rsidTr="003923BC">
        <w:trPr>
          <w:jc w:val="center"/>
        </w:trPr>
        <w:tc>
          <w:tcPr>
            <w:tcW w:w="4606" w:type="dxa"/>
          </w:tcPr>
          <w:p w:rsidR="003923BC" w:rsidRPr="00967BB4" w:rsidRDefault="003923BC" w:rsidP="00967BB4">
            <w:pPr>
              <w:spacing w:line="276" w:lineRule="auto"/>
              <w:jc w:val="center"/>
            </w:pPr>
            <w:r w:rsidRPr="00967BB4">
              <w:t>2010-2012</w:t>
            </w:r>
          </w:p>
        </w:tc>
        <w:tc>
          <w:tcPr>
            <w:tcW w:w="4606" w:type="dxa"/>
          </w:tcPr>
          <w:p w:rsidR="003923BC" w:rsidRPr="00967BB4" w:rsidRDefault="003923BC" w:rsidP="00967BB4">
            <w:pPr>
              <w:spacing w:line="276" w:lineRule="auto"/>
              <w:jc w:val="center"/>
            </w:pPr>
            <w:r w:rsidRPr="00967BB4">
              <w:t>-2,36%</w:t>
            </w:r>
          </w:p>
        </w:tc>
      </w:tr>
      <w:tr w:rsidR="003923BC" w:rsidRPr="00967BB4" w:rsidTr="003923BC">
        <w:trPr>
          <w:jc w:val="center"/>
        </w:trPr>
        <w:tc>
          <w:tcPr>
            <w:tcW w:w="4606" w:type="dxa"/>
          </w:tcPr>
          <w:p w:rsidR="003923BC" w:rsidRPr="00967BB4" w:rsidRDefault="003923BC" w:rsidP="00967BB4">
            <w:pPr>
              <w:spacing w:line="276" w:lineRule="auto"/>
              <w:jc w:val="center"/>
            </w:pPr>
            <w:r w:rsidRPr="00967BB4">
              <w:t>2012-2014</w:t>
            </w:r>
          </w:p>
        </w:tc>
        <w:tc>
          <w:tcPr>
            <w:tcW w:w="4606" w:type="dxa"/>
          </w:tcPr>
          <w:p w:rsidR="003923BC" w:rsidRPr="00967BB4" w:rsidRDefault="003923BC" w:rsidP="00967BB4">
            <w:pPr>
              <w:spacing w:line="276" w:lineRule="auto"/>
              <w:jc w:val="center"/>
            </w:pPr>
            <w:r w:rsidRPr="00967BB4">
              <w:t>-10,86%</w:t>
            </w:r>
          </w:p>
        </w:tc>
      </w:tr>
      <w:tr w:rsidR="003923BC" w:rsidRPr="00967BB4" w:rsidTr="003923BC">
        <w:trPr>
          <w:jc w:val="center"/>
        </w:trPr>
        <w:tc>
          <w:tcPr>
            <w:tcW w:w="4606" w:type="dxa"/>
          </w:tcPr>
          <w:p w:rsidR="003923BC" w:rsidRPr="00967BB4" w:rsidRDefault="003923BC" w:rsidP="00967BB4">
            <w:pPr>
              <w:spacing w:line="276" w:lineRule="auto"/>
              <w:jc w:val="center"/>
            </w:pPr>
            <w:r w:rsidRPr="00967BB4">
              <w:t>2008-2014</w:t>
            </w:r>
          </w:p>
        </w:tc>
        <w:tc>
          <w:tcPr>
            <w:tcW w:w="4606" w:type="dxa"/>
          </w:tcPr>
          <w:p w:rsidR="003923BC" w:rsidRPr="00967BB4" w:rsidRDefault="003923BC" w:rsidP="00967BB4">
            <w:pPr>
              <w:spacing w:line="276" w:lineRule="auto"/>
              <w:jc w:val="center"/>
            </w:pPr>
            <w:r w:rsidRPr="00967BB4">
              <w:t>-13,43%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967BB4">
      <w:pPr>
        <w:shd w:val="clear" w:color="auto" w:fill="FFFFFF"/>
        <w:spacing w:after="0"/>
        <w:jc w:val="both"/>
      </w:pPr>
    </w:p>
    <w:p w:rsidR="00D16B56" w:rsidRPr="00967BB4" w:rsidRDefault="00D16B56" w:rsidP="00967BB4">
      <w:pPr>
        <w:shd w:val="clear" w:color="auto" w:fill="FFFFFF"/>
        <w:spacing w:after="0"/>
        <w:jc w:val="both"/>
      </w:pPr>
      <w:r w:rsidRPr="00967BB4">
        <w:t>W całym okresie analizy, tj. w latach 2008-2014 zapasy przedsiębiorstw z branży budowlanej spadły o -13,43. Na uwagę, zasługuje fakt, że każdy badany okres cechuje się ujemną wartością.</w:t>
      </w:r>
      <w:r w:rsidR="007D2074">
        <w:t xml:space="preserve"> </w:t>
      </w:r>
      <w:r w:rsidR="00EB1258" w:rsidRPr="00967BB4">
        <w:t>Dokonując precyzyjnej</w:t>
      </w:r>
      <w:r w:rsidRPr="00967BB4">
        <w:t xml:space="preserve"> analizy zmian strukturalnych (sektorowych) w tabeli 10 przedstawion</w:t>
      </w:r>
      <w:r w:rsidR="00EB1258" w:rsidRPr="00967BB4">
        <w:t xml:space="preserve">o strukturalny czynnik wzrostu, który </w:t>
      </w:r>
      <w:r w:rsidRPr="00967BB4">
        <w:t xml:space="preserve">został obliczony dla czterech składowych zapasów, </w:t>
      </w:r>
      <w:r w:rsidR="00EB1258" w:rsidRPr="00967BB4">
        <w:t xml:space="preserve">w których wyszczególniono </w:t>
      </w:r>
      <w:r w:rsidRPr="00967BB4">
        <w:t xml:space="preserve">z </w:t>
      </w:r>
      <w:r w:rsidR="00EB1258" w:rsidRPr="00967BB4">
        <w:t>materiały, półprodukty i produkty w toku, produkty gotowe oraz towary</w:t>
      </w:r>
      <w:r w:rsidRPr="00967BB4">
        <w:t xml:space="preserve">. </w:t>
      </w:r>
    </w:p>
    <w:p w:rsidR="00EF150B" w:rsidRDefault="00EF150B" w:rsidP="00967BB4">
      <w:pPr>
        <w:shd w:val="clear" w:color="auto" w:fill="FFFFFF"/>
        <w:spacing w:after="0"/>
      </w:pPr>
    </w:p>
    <w:p w:rsidR="007D2074" w:rsidRDefault="007D2074" w:rsidP="00967BB4">
      <w:pPr>
        <w:shd w:val="clear" w:color="auto" w:fill="FFFFFF"/>
        <w:spacing w:after="0"/>
      </w:pPr>
    </w:p>
    <w:p w:rsidR="007D2074" w:rsidRDefault="007D2074" w:rsidP="00967BB4">
      <w:pPr>
        <w:shd w:val="clear" w:color="auto" w:fill="FFFFFF"/>
        <w:spacing w:after="0"/>
      </w:pPr>
    </w:p>
    <w:p w:rsidR="007D2074" w:rsidRDefault="007D2074" w:rsidP="00967BB4">
      <w:pPr>
        <w:shd w:val="clear" w:color="auto" w:fill="FFFFFF"/>
        <w:spacing w:after="0"/>
      </w:pPr>
    </w:p>
    <w:p w:rsidR="007D2074" w:rsidRDefault="007D2074" w:rsidP="00967BB4">
      <w:pPr>
        <w:shd w:val="clear" w:color="auto" w:fill="FFFFFF"/>
        <w:spacing w:after="0"/>
      </w:pPr>
    </w:p>
    <w:p w:rsidR="007D2074" w:rsidRDefault="007D2074" w:rsidP="00967BB4">
      <w:pPr>
        <w:shd w:val="clear" w:color="auto" w:fill="FFFFFF"/>
        <w:spacing w:after="0"/>
      </w:pPr>
    </w:p>
    <w:p w:rsidR="00D16B56" w:rsidRPr="00967BB4" w:rsidRDefault="00D16B56" w:rsidP="00967BB4">
      <w:pPr>
        <w:shd w:val="clear" w:color="auto" w:fill="FFFFFF"/>
        <w:spacing w:after="0"/>
      </w:pPr>
      <w:r w:rsidRPr="00967BB4">
        <w:lastRenderedPageBreak/>
        <w:t xml:space="preserve">Tabela 10. Sektorowy (strukturalny) czynnik wzrostu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4"/>
        <w:gridCol w:w="1954"/>
        <w:gridCol w:w="1938"/>
        <w:gridCol w:w="1914"/>
        <w:gridCol w:w="1608"/>
      </w:tblGrid>
      <w:tr w:rsidR="00D16B56" w:rsidRPr="00967BB4" w:rsidTr="0081359B">
        <w:tc>
          <w:tcPr>
            <w:tcW w:w="1874" w:type="dxa"/>
            <w:vAlign w:val="center"/>
          </w:tcPr>
          <w:p w:rsidR="00D16B56" w:rsidRPr="00967BB4" w:rsidRDefault="0081359B" w:rsidP="0081359B">
            <w:pPr>
              <w:spacing w:line="276" w:lineRule="auto"/>
              <w:jc w:val="center"/>
            </w:pPr>
            <w:r>
              <w:t>p</w:t>
            </w:r>
            <w:r w:rsidR="00D16B56" w:rsidRPr="00967BB4">
              <w:t>rzedział czasowy</w:t>
            </w:r>
          </w:p>
        </w:tc>
        <w:tc>
          <w:tcPr>
            <w:tcW w:w="1954" w:type="dxa"/>
            <w:vAlign w:val="center"/>
          </w:tcPr>
          <w:p w:rsidR="0081359B" w:rsidRDefault="0081359B" w:rsidP="0081359B">
            <w:pPr>
              <w:spacing w:line="276" w:lineRule="auto"/>
              <w:jc w:val="center"/>
            </w:pPr>
            <w:r>
              <w:t>zapasy</w:t>
            </w:r>
          </w:p>
          <w:p w:rsidR="00D16B56" w:rsidRPr="00967BB4" w:rsidRDefault="00D16B56" w:rsidP="0081359B">
            <w:pPr>
              <w:spacing w:line="276" w:lineRule="auto"/>
              <w:jc w:val="center"/>
            </w:pPr>
            <w:r w:rsidRPr="00967BB4">
              <w:t>materiały</w:t>
            </w:r>
          </w:p>
        </w:tc>
        <w:tc>
          <w:tcPr>
            <w:tcW w:w="1938" w:type="dxa"/>
            <w:vAlign w:val="center"/>
          </w:tcPr>
          <w:p w:rsidR="00D16B56" w:rsidRPr="00967BB4" w:rsidRDefault="0081359B" w:rsidP="0081359B">
            <w:pPr>
              <w:spacing w:line="276" w:lineRule="auto"/>
              <w:jc w:val="center"/>
            </w:pPr>
            <w:r>
              <w:t xml:space="preserve">zapasy </w:t>
            </w:r>
            <w:r w:rsidR="00D16B56" w:rsidRPr="00967BB4">
              <w:t>półprodukty i produkty w toku</w:t>
            </w:r>
          </w:p>
        </w:tc>
        <w:tc>
          <w:tcPr>
            <w:tcW w:w="1914" w:type="dxa"/>
            <w:vAlign w:val="center"/>
          </w:tcPr>
          <w:p w:rsidR="0081359B" w:rsidRDefault="0081359B" w:rsidP="0081359B">
            <w:pPr>
              <w:spacing w:line="276" w:lineRule="auto"/>
              <w:jc w:val="center"/>
            </w:pPr>
            <w:r>
              <w:t>zapasy</w:t>
            </w:r>
          </w:p>
          <w:p w:rsidR="00D16B56" w:rsidRPr="00967BB4" w:rsidRDefault="00D16B56" w:rsidP="0081359B">
            <w:pPr>
              <w:spacing w:line="276" w:lineRule="auto"/>
              <w:jc w:val="center"/>
            </w:pPr>
            <w:r w:rsidRPr="00967BB4">
              <w:t>produkty gotowe</w:t>
            </w:r>
          </w:p>
        </w:tc>
        <w:tc>
          <w:tcPr>
            <w:tcW w:w="1608" w:type="dxa"/>
            <w:vAlign w:val="center"/>
          </w:tcPr>
          <w:p w:rsidR="0081359B" w:rsidRDefault="0081359B" w:rsidP="0081359B">
            <w:pPr>
              <w:spacing w:line="276" w:lineRule="auto"/>
              <w:jc w:val="center"/>
            </w:pPr>
            <w:r>
              <w:t>zapasy</w:t>
            </w:r>
          </w:p>
          <w:p w:rsidR="00D16B56" w:rsidRPr="00967BB4" w:rsidRDefault="00D16B56" w:rsidP="0081359B">
            <w:pPr>
              <w:spacing w:line="276" w:lineRule="auto"/>
              <w:jc w:val="center"/>
            </w:pPr>
            <w:r w:rsidRPr="00967BB4">
              <w:t>towary</w:t>
            </w:r>
          </w:p>
        </w:tc>
      </w:tr>
      <w:tr w:rsidR="00D16B56" w:rsidRPr="00967BB4" w:rsidTr="00335D9C">
        <w:tc>
          <w:tcPr>
            <w:tcW w:w="1874" w:type="dxa"/>
          </w:tcPr>
          <w:p w:rsidR="00D16B56" w:rsidRPr="00967BB4" w:rsidRDefault="00D16B56" w:rsidP="00967BB4">
            <w:pPr>
              <w:spacing w:line="276" w:lineRule="auto"/>
            </w:pPr>
            <w:r w:rsidRPr="00967BB4">
              <w:t>2008-2010</w:t>
            </w:r>
          </w:p>
        </w:tc>
        <w:tc>
          <w:tcPr>
            <w:tcW w:w="1954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23%</w:t>
            </w:r>
          </w:p>
        </w:tc>
        <w:tc>
          <w:tcPr>
            <w:tcW w:w="1938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-12%</w:t>
            </w:r>
          </w:p>
        </w:tc>
        <w:tc>
          <w:tcPr>
            <w:tcW w:w="1914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46%</w:t>
            </w:r>
          </w:p>
        </w:tc>
        <w:tc>
          <w:tcPr>
            <w:tcW w:w="1608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-21%</w:t>
            </w:r>
          </w:p>
        </w:tc>
      </w:tr>
      <w:tr w:rsidR="00D16B56" w:rsidRPr="00967BB4" w:rsidTr="00335D9C">
        <w:tc>
          <w:tcPr>
            <w:tcW w:w="1874" w:type="dxa"/>
          </w:tcPr>
          <w:p w:rsidR="00D16B56" w:rsidRPr="00967BB4" w:rsidRDefault="00D16B56" w:rsidP="00967BB4">
            <w:pPr>
              <w:spacing w:line="276" w:lineRule="auto"/>
            </w:pPr>
            <w:r w:rsidRPr="00967BB4">
              <w:t>2010-2012</w:t>
            </w:r>
          </w:p>
        </w:tc>
        <w:tc>
          <w:tcPr>
            <w:tcW w:w="1954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2%</w:t>
            </w:r>
          </w:p>
        </w:tc>
        <w:tc>
          <w:tcPr>
            <w:tcW w:w="1938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15%</w:t>
            </w:r>
          </w:p>
        </w:tc>
        <w:tc>
          <w:tcPr>
            <w:tcW w:w="1914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-42%</w:t>
            </w:r>
          </w:p>
        </w:tc>
        <w:tc>
          <w:tcPr>
            <w:tcW w:w="1608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-21%</w:t>
            </w:r>
          </w:p>
        </w:tc>
      </w:tr>
      <w:tr w:rsidR="00D16B56" w:rsidRPr="00967BB4" w:rsidTr="00335D9C">
        <w:tc>
          <w:tcPr>
            <w:tcW w:w="1874" w:type="dxa"/>
          </w:tcPr>
          <w:p w:rsidR="00D16B56" w:rsidRPr="00967BB4" w:rsidRDefault="00D16B56" w:rsidP="00967BB4">
            <w:pPr>
              <w:spacing w:line="276" w:lineRule="auto"/>
            </w:pPr>
            <w:r w:rsidRPr="00967BB4">
              <w:t>2012-2014</w:t>
            </w:r>
          </w:p>
        </w:tc>
        <w:tc>
          <w:tcPr>
            <w:tcW w:w="1954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-19%</w:t>
            </w:r>
          </w:p>
        </w:tc>
        <w:tc>
          <w:tcPr>
            <w:tcW w:w="1938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-12%</w:t>
            </w:r>
          </w:p>
        </w:tc>
        <w:tc>
          <w:tcPr>
            <w:tcW w:w="1914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10%</w:t>
            </w:r>
          </w:p>
        </w:tc>
        <w:tc>
          <w:tcPr>
            <w:tcW w:w="1608" w:type="dxa"/>
            <w:vAlign w:val="bottom"/>
          </w:tcPr>
          <w:p w:rsidR="00D16B56" w:rsidRPr="00967BB4" w:rsidRDefault="00D16B56" w:rsidP="00D20F95">
            <w:pPr>
              <w:spacing w:line="276" w:lineRule="auto"/>
              <w:jc w:val="center"/>
              <w:rPr>
                <w:rFonts w:cs="Arial"/>
              </w:rPr>
            </w:pPr>
            <w:r w:rsidRPr="00967BB4">
              <w:rPr>
                <w:rFonts w:cs="Arial"/>
              </w:rPr>
              <w:t>-21%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967BB4">
      <w:pPr>
        <w:shd w:val="clear" w:color="auto" w:fill="FFFFFF"/>
        <w:spacing w:after="0"/>
        <w:jc w:val="both"/>
      </w:pPr>
    </w:p>
    <w:p w:rsidR="00D16B56" w:rsidRPr="00967BB4" w:rsidRDefault="00D16B56" w:rsidP="00967BB4">
      <w:pPr>
        <w:shd w:val="clear" w:color="auto" w:fill="FFFFFF"/>
        <w:spacing w:after="0"/>
        <w:jc w:val="both"/>
      </w:pPr>
      <w:r w:rsidRPr="00967BB4">
        <w:t>Rozpatrując zmiany strukturalne w obszarze zapasów przedsiębiorstw branży budowlanej, możemy zauważyć, że w l</w:t>
      </w:r>
      <w:r w:rsidR="007D2074">
        <w:t>atach 2010-2012</w:t>
      </w:r>
      <w:r w:rsidRPr="00967BB4">
        <w:t xml:space="preserve"> w strukturze produkty gotowe nastąpił największy spadek zapasów wynoszące 42%. Jednakże, dla okresu wcześniejszego nastąpił 46% wzrost zapasów w strukturze zapasów dotyczących produktów gotowych.</w:t>
      </w:r>
    </w:p>
    <w:p w:rsidR="00EB1258" w:rsidRPr="00967BB4" w:rsidRDefault="00EB1258" w:rsidP="00967BB4">
      <w:pPr>
        <w:shd w:val="clear" w:color="auto" w:fill="FFFFFF"/>
        <w:spacing w:after="0"/>
        <w:jc w:val="both"/>
      </w:pPr>
      <w:r w:rsidRPr="00967BB4">
        <w:t>W tabeli 10</w:t>
      </w:r>
      <w:r w:rsidR="002768B3" w:rsidRPr="00967BB4">
        <w:t>, obliczono równość strukturalno-geograficzną, przedstawiającą całkowity efekt zmian jakie miały miejsce w badanych okresach</w:t>
      </w:r>
      <w:r w:rsidRPr="00967BB4">
        <w:t>. Na uwagę zasługuje fakt, bardzo dużej wartości efektu całkowitego otrzymanego dla województwa świętokrzyskiego (223,47%).  Odwrotna sytuacja miała miejsce w województwie łódzkim, w którym przedsiębiorstwa budowlane zanotowały 43,51% spadek efektu całkowitego.</w:t>
      </w:r>
    </w:p>
    <w:p w:rsidR="00EF150B" w:rsidRDefault="00EF150B" w:rsidP="00967BB4">
      <w:pPr>
        <w:shd w:val="clear" w:color="auto" w:fill="FFFFFF"/>
        <w:spacing w:after="0"/>
      </w:pPr>
    </w:p>
    <w:p w:rsidR="00D16B56" w:rsidRPr="00967BB4" w:rsidRDefault="00D16B56" w:rsidP="00967BB4">
      <w:pPr>
        <w:shd w:val="clear" w:color="auto" w:fill="FFFFFF"/>
        <w:spacing w:after="0"/>
      </w:pPr>
      <w:r w:rsidRPr="00967BB4">
        <w:t>Tabela 10. Równość strukturalno-geograficzna (efekt całkowity)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6"/>
        <w:gridCol w:w="1452"/>
        <w:gridCol w:w="1196"/>
        <w:gridCol w:w="1194"/>
        <w:gridCol w:w="1214"/>
      </w:tblGrid>
      <w:tr w:rsidR="001F7F06" w:rsidRPr="00967BB4" w:rsidTr="00AD3D32">
        <w:trPr>
          <w:trHeight w:val="285"/>
          <w:tblHeader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9A7A3D" w:rsidP="00D20F95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województw</w:t>
            </w:r>
            <w:r>
              <w:rPr>
                <w:rFonts w:eastAsia="Times New Roman" w:cs="Arial"/>
                <w:color w:val="000000"/>
                <w:lang w:eastAsia="pl-PL"/>
              </w:rPr>
              <w:t>o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lang w:eastAsia="pl-PL"/>
              </w:rPr>
              <w:t>2008-2010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lang w:eastAsia="pl-PL"/>
              </w:rPr>
              <w:t>2010-2012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lang w:eastAsia="pl-PL"/>
              </w:rPr>
              <w:t>2012-2014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lang w:eastAsia="pl-PL"/>
              </w:rPr>
              <w:t>2008-2014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ŚWIĘTOKRZYSKIE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96,05%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-1,08%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17,44%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223,47%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ŚLĄSKIE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35,75%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22,59%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2,82%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67,02%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LUBELSKIE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45,27%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41,14%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-20,82%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44,17%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PODKARPACKIE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76,33%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36,08%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-32,92%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42,08%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WARMIŃSKO-MAZURSKIE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-1,71%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7,10%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23,73%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24,59%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MAŁOPOLSKIE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12,40%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18,32%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-4,04%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19,19%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WIELKOPOLSKIE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7,56%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12,59%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-13,70%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-1,60%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OPOLSKIE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32,28%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-17,13%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-9,78%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-3,65%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LUBUSKIE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-0,44%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-33,41%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47,78%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-4,90%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KUJAWSKO-POMORSKIE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5,64%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-9,66%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1,77%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-6,87%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PODLASKIE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-8,36%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13,42%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-8,82%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-7,25%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ZACHODNIOPOMORSKIE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-1,56%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6,76%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-9,18%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-10,39%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MAZOWIECKIE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-12,17%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-23,31%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25,49%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-17,81%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DOLNOŚLĄSKIE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0,93%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-6,16%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-15,93%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-22,98%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POMORSKIE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-31,20%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32,62%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-26,32%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-32,99%</w:t>
            </w:r>
          </w:p>
        </w:tc>
      </w:tr>
      <w:tr w:rsidR="003923BC" w:rsidRPr="00967BB4" w:rsidTr="003923BC">
        <w:trPr>
          <w:trHeight w:val="285"/>
        </w:trPr>
        <w:tc>
          <w:tcPr>
            <w:tcW w:w="2256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ŁÓDZKIE</w:t>
            </w:r>
          </w:p>
        </w:tc>
        <w:tc>
          <w:tcPr>
            <w:tcW w:w="78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3,73%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0,83%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-44,54%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-43,51%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967BB4">
      <w:pPr>
        <w:shd w:val="clear" w:color="auto" w:fill="FFFFFF"/>
        <w:spacing w:after="0"/>
        <w:jc w:val="both"/>
      </w:pPr>
    </w:p>
    <w:p w:rsidR="00D16B56" w:rsidRPr="00967BB4" w:rsidRDefault="00D16B56" w:rsidP="00967BB4">
      <w:pPr>
        <w:shd w:val="clear" w:color="auto" w:fill="FFFFFF"/>
        <w:spacing w:after="0"/>
        <w:jc w:val="both"/>
      </w:pPr>
      <w:r w:rsidRPr="00967BB4">
        <w:t xml:space="preserve">Podejmując próby </w:t>
      </w:r>
      <w:r w:rsidR="00EB1258" w:rsidRPr="00967BB4">
        <w:t>dodatkowej</w:t>
      </w:r>
      <w:r w:rsidRPr="00967BB4">
        <w:t xml:space="preserve"> analizy zmian jakie zanotowały przedsiębiorstwa budowlane w zmianach osiąganego efektu całkowitego, dodatkowo obliczono efekty strukturalne oraz geograficzne – por.</w:t>
      </w:r>
      <w:r w:rsidR="002768B3" w:rsidRPr="00967BB4">
        <w:t xml:space="preserve"> tabela 11</w:t>
      </w:r>
      <w:r w:rsidRPr="00967BB4">
        <w:t>.</w:t>
      </w:r>
      <w:r w:rsidRPr="00967BB4">
        <w:rPr>
          <w:b/>
        </w:rPr>
        <w:t xml:space="preserve">  </w:t>
      </w:r>
      <w:r w:rsidRPr="00967BB4">
        <w:t xml:space="preserve">Wzrost efektu całkowitego dla województwa </w:t>
      </w:r>
      <w:r w:rsidR="002768B3" w:rsidRPr="00967BB4">
        <w:t>świętokrzyskiego</w:t>
      </w:r>
      <w:r w:rsidRPr="00967BB4">
        <w:t xml:space="preserve">, spowodowany był w minimalnym stopniu zmianami w strukturze </w:t>
      </w:r>
      <w:r w:rsidR="002768B3" w:rsidRPr="00967BB4">
        <w:t>zapasów</w:t>
      </w:r>
      <w:r w:rsidRPr="00967BB4">
        <w:t xml:space="preserve"> (</w:t>
      </w:r>
      <w:r w:rsidR="002768B3" w:rsidRPr="00967BB4">
        <w:t>16</w:t>
      </w:r>
      <w:r w:rsidRPr="00967BB4">
        <w:t>%), a w znacząco większym stopniu przez zmiany wewnętrzne związane z konkurencyjnością danego obszaru (</w:t>
      </w:r>
      <w:r w:rsidR="002768B3" w:rsidRPr="00967BB4">
        <w:t>191</w:t>
      </w:r>
      <w:r w:rsidRPr="00967BB4">
        <w:t>%).</w:t>
      </w:r>
    </w:p>
    <w:p w:rsidR="00D16B56" w:rsidRPr="00967BB4" w:rsidRDefault="002768B3" w:rsidP="00967BB4">
      <w:pPr>
        <w:shd w:val="clear" w:color="auto" w:fill="FFFFFF"/>
        <w:spacing w:after="0"/>
      </w:pPr>
      <w:r w:rsidRPr="00967BB4">
        <w:lastRenderedPageBreak/>
        <w:t>Tabela 11</w:t>
      </w:r>
      <w:r w:rsidR="00D16B56" w:rsidRPr="00967BB4">
        <w:t xml:space="preserve">. </w:t>
      </w:r>
      <w:r w:rsidR="00EE29E3" w:rsidRPr="00967BB4">
        <w:t xml:space="preserve">Wyniki analizy </w:t>
      </w:r>
      <w:proofErr w:type="spellStart"/>
      <w:r w:rsidR="00EE29E3" w:rsidRPr="00967BB4">
        <w:t>shift-share</w:t>
      </w:r>
      <w:proofErr w:type="spellEnd"/>
      <w:r w:rsidR="00EE29E3" w:rsidRPr="00967BB4">
        <w:t xml:space="preserve"> 2008-2014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1514"/>
        <w:gridCol w:w="1879"/>
        <w:gridCol w:w="1940"/>
      </w:tblGrid>
      <w:tr w:rsidR="003923BC" w:rsidRPr="00967BB4" w:rsidTr="00AD3D32">
        <w:trPr>
          <w:trHeight w:val="315"/>
          <w:tblHeader/>
        </w:trPr>
        <w:tc>
          <w:tcPr>
            <w:tcW w:w="2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9A7A3D" w:rsidP="00AD3D32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color w:val="000000"/>
                <w:lang w:eastAsia="pl-PL"/>
              </w:rPr>
              <w:t>województw</w:t>
            </w:r>
            <w:r>
              <w:rPr>
                <w:rFonts w:eastAsia="Times New Roman" w:cs="Arial"/>
                <w:color w:val="000000"/>
                <w:lang w:eastAsia="pl-PL"/>
              </w:rPr>
              <w:t>o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AD3D32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lang w:eastAsia="pl-PL"/>
              </w:rPr>
              <w:t>całkowity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AD3D32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lang w:eastAsia="pl-PL"/>
              </w:rPr>
              <w:t>strukturalny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AD3D32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967BB4">
              <w:rPr>
                <w:rFonts w:eastAsia="Times New Roman" w:cs="Arial"/>
                <w:lang w:eastAsia="pl-PL"/>
              </w:rPr>
              <w:t>geograficzny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ŚWIĘTOKRZYSKIE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223%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16%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191%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ŚLĄSKIE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67%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11%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64%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LUBELSKIE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44%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8%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20%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PODKARPACKIE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42%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9%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15%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WARMIŃSKO-MAZURSKIE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25%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11%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7%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PODLASKIE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-7%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5%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3%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ZACHODNIOPOMORSKIE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-10%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3%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-5%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POMORSKIE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-33%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5%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-6%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MAŁOPOLSKIE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19%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16%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-7%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WIELKOPOLSKIE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-2%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7%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-11%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MAZOWIECKIE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-18%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8%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-13%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KUJAWSKO-POMORSKIE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-7%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10%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-16%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LUBUSKIE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-5%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18%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-25%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DOLNOŚLĄSKIE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-23%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9%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-27%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ŁÓDZKIE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-44%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13%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-35%</w:t>
            </w:r>
          </w:p>
        </w:tc>
      </w:tr>
      <w:tr w:rsidR="003923BC" w:rsidRPr="00967BB4" w:rsidTr="003923BC">
        <w:trPr>
          <w:trHeight w:val="315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967BB4">
            <w:pPr>
              <w:spacing w:after="0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 xml:space="preserve"> OPOLSKIE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-4%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33%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3BC" w:rsidRPr="00967BB4" w:rsidRDefault="003923BC" w:rsidP="00D20F95">
            <w:pPr>
              <w:spacing w:after="0"/>
              <w:jc w:val="center"/>
              <w:rPr>
                <w:rFonts w:cs="Arial"/>
                <w:color w:val="000000"/>
              </w:rPr>
            </w:pPr>
            <w:r w:rsidRPr="00967BB4">
              <w:rPr>
                <w:rFonts w:cs="Arial"/>
                <w:color w:val="000000"/>
              </w:rPr>
              <w:t>-37%</w:t>
            </w:r>
          </w:p>
        </w:tc>
      </w:tr>
    </w:tbl>
    <w:p w:rsidR="00EF150B" w:rsidRDefault="00EF150B" w:rsidP="00EF150B">
      <w:pPr>
        <w:shd w:val="clear" w:color="auto" w:fill="FFFFFF"/>
        <w:spacing w:after="0"/>
        <w:jc w:val="right"/>
      </w:pPr>
      <w:r>
        <w:t>Źródło: opracowanie  własne na podstawie danych z GUS</w:t>
      </w:r>
    </w:p>
    <w:p w:rsidR="00EF150B" w:rsidRDefault="00EF150B" w:rsidP="00967BB4">
      <w:pPr>
        <w:shd w:val="clear" w:color="auto" w:fill="FFFFFF"/>
        <w:spacing w:after="0"/>
        <w:rPr>
          <w:rFonts w:eastAsia="Times New Roman" w:cs="Times New Roman"/>
          <w:b/>
          <w:color w:val="141412"/>
          <w:lang w:eastAsia="pl-PL"/>
        </w:rPr>
      </w:pPr>
    </w:p>
    <w:p w:rsidR="001E293B" w:rsidRPr="00967BB4" w:rsidRDefault="00D169FA" w:rsidP="00967BB4">
      <w:pPr>
        <w:shd w:val="clear" w:color="auto" w:fill="FFFFFF"/>
        <w:spacing w:after="0"/>
        <w:rPr>
          <w:rFonts w:eastAsia="Times New Roman" w:cs="Times New Roman"/>
          <w:b/>
          <w:color w:val="141412"/>
          <w:lang w:eastAsia="pl-PL"/>
        </w:rPr>
      </w:pPr>
      <w:r>
        <w:rPr>
          <w:rFonts w:eastAsia="Times New Roman" w:cs="Times New Roman"/>
          <w:b/>
          <w:color w:val="141412"/>
          <w:lang w:eastAsia="pl-PL"/>
        </w:rPr>
        <w:t>P</w:t>
      </w:r>
      <w:r w:rsidR="00D16B56" w:rsidRPr="00967BB4">
        <w:rPr>
          <w:rFonts w:eastAsia="Times New Roman" w:cs="Times New Roman"/>
          <w:b/>
          <w:color w:val="141412"/>
          <w:lang w:eastAsia="pl-PL"/>
        </w:rPr>
        <w:t>odsumowanie</w:t>
      </w:r>
    </w:p>
    <w:p w:rsidR="00F77EFD" w:rsidRDefault="00D169FA" w:rsidP="008C6D6D">
      <w:pPr>
        <w:spacing w:after="0"/>
        <w:jc w:val="both"/>
      </w:pPr>
      <w:r>
        <w:t xml:space="preserve">Przeprowadzone badania pokazały dynamikę zmian oraz przesunięcia strukturalne i geograficzne w </w:t>
      </w:r>
      <w:r w:rsidR="008C6D6D">
        <w:t>strukturze</w:t>
      </w:r>
      <w:r>
        <w:t xml:space="preserve"> finansów</w:t>
      </w:r>
      <w:r w:rsidR="008C6D6D">
        <w:t xml:space="preserve"> przedsiębiorstw branży budowlanej. Obliczenia przeprowadzono dla trzech kategorii uwzględnianych w wyniku fin</w:t>
      </w:r>
      <w:r w:rsidR="000540D7">
        <w:t>ansowym przedsiębiorstw. Dwie s</w:t>
      </w:r>
      <w:r w:rsidR="008C6D6D">
        <w:t xml:space="preserve">pośród przebadanych składowych z uwagi na ich charakter zdefiniowano jako </w:t>
      </w:r>
      <w:proofErr w:type="spellStart"/>
      <w:r w:rsidR="007D2074">
        <w:t>de</w:t>
      </w:r>
      <w:r w:rsidR="008C6D6D">
        <w:t>stymulant</w:t>
      </w:r>
      <w:r w:rsidR="007D2074">
        <w:t>y</w:t>
      </w:r>
      <w:proofErr w:type="spellEnd"/>
      <w:r w:rsidR="007D2074">
        <w:t xml:space="preserve"> natomiast jedną z nich jako stymulanta</w:t>
      </w:r>
      <w:r w:rsidR="008C6D6D">
        <w:t xml:space="preserve">. Przyporządkowanie badanych wymiarów do kategorii stymulant lub </w:t>
      </w:r>
      <w:proofErr w:type="spellStart"/>
      <w:r w:rsidR="008C6D6D">
        <w:t>destymulant</w:t>
      </w:r>
      <w:proofErr w:type="spellEnd"/>
      <w:r w:rsidR="008C6D6D">
        <w:t xml:space="preserve"> ma zasadnicze znaczenie przy przeprowadzaniu analizy uzyskanych wyników. Należy również  zaznaczyć, iż przeprowadzone badania pozwoliły na wskazanie zmian zachodzących w badanych obszarach bez szczegółowej analizy przyczyn je wywołujących. </w:t>
      </w:r>
    </w:p>
    <w:p w:rsidR="0020379D" w:rsidRDefault="0020379D" w:rsidP="008C6D6D">
      <w:pPr>
        <w:spacing w:after="0"/>
        <w:jc w:val="both"/>
      </w:pPr>
    </w:p>
    <w:p w:rsidR="00960342" w:rsidRPr="00967BB4" w:rsidRDefault="00960342" w:rsidP="008C6D6D">
      <w:pPr>
        <w:spacing w:after="0"/>
        <w:jc w:val="both"/>
      </w:pPr>
    </w:p>
    <w:p w:rsidR="0087456A" w:rsidRPr="00967BB4" w:rsidRDefault="0087456A" w:rsidP="00967BB4">
      <w:pPr>
        <w:spacing w:after="0"/>
      </w:pPr>
    </w:p>
    <w:p w:rsidR="0087456A" w:rsidRPr="00967BB4" w:rsidRDefault="0087456A" w:rsidP="00967BB4">
      <w:pPr>
        <w:spacing w:after="0"/>
      </w:pPr>
    </w:p>
    <w:sectPr w:rsidR="0087456A" w:rsidRPr="00967BB4" w:rsidSect="00C5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F5" w:rsidRDefault="00B25EF5" w:rsidP="00335D9C">
      <w:pPr>
        <w:spacing w:after="0" w:line="240" w:lineRule="auto"/>
      </w:pPr>
      <w:r>
        <w:separator/>
      </w:r>
    </w:p>
  </w:endnote>
  <w:endnote w:type="continuationSeparator" w:id="0">
    <w:p w:rsidR="00B25EF5" w:rsidRDefault="00B25EF5" w:rsidP="0033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F5" w:rsidRDefault="00B25EF5" w:rsidP="00335D9C">
      <w:pPr>
        <w:spacing w:after="0" w:line="240" w:lineRule="auto"/>
      </w:pPr>
      <w:r>
        <w:separator/>
      </w:r>
    </w:p>
  </w:footnote>
  <w:footnote w:type="continuationSeparator" w:id="0">
    <w:p w:rsidR="00B25EF5" w:rsidRDefault="00B25EF5" w:rsidP="00335D9C">
      <w:pPr>
        <w:spacing w:after="0" w:line="240" w:lineRule="auto"/>
      </w:pPr>
      <w:r>
        <w:continuationSeparator/>
      </w:r>
    </w:p>
  </w:footnote>
  <w:footnote w:id="1">
    <w:p w:rsidR="005E0C32" w:rsidRDefault="005E0C32">
      <w:pPr>
        <w:pStyle w:val="Tekstprzypisudolnego"/>
      </w:pPr>
      <w:r>
        <w:rPr>
          <w:rStyle w:val="Odwoanieprzypisudolnego"/>
        </w:rPr>
        <w:footnoteRef/>
      </w:r>
      <w:r>
        <w:t xml:space="preserve"> Analiza przesunięć udziałów –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share-analysis</w:t>
      </w:r>
      <w:proofErr w:type="spellEnd"/>
      <w:r>
        <w:t xml:space="preserve"> (SSA)</w:t>
      </w:r>
    </w:p>
  </w:footnote>
  <w:footnote w:id="2">
    <w:p w:rsidR="004539CD" w:rsidRDefault="004539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20FE0">
        <w:t xml:space="preserve"> </w:t>
      </w:r>
      <w:r w:rsidR="00720FE0" w:rsidRPr="00720FE0">
        <w:t>Suchecki, B. (2010). Ekonometria przestrzenna. Metody i modele analizy danych przes</w:t>
      </w:r>
      <w:r w:rsidR="00720FE0">
        <w:t>trzennych, Warszawa, C.H. Beck.</w:t>
      </w:r>
    </w:p>
  </w:footnote>
  <w:footnote w:id="3">
    <w:p w:rsidR="005E0C32" w:rsidRDefault="005E0C32">
      <w:pPr>
        <w:pStyle w:val="Tekstprzypisudolnego"/>
      </w:pPr>
      <w:r>
        <w:rPr>
          <w:rStyle w:val="Odwoanieprzypisudolnego"/>
        </w:rPr>
        <w:footnoteRef/>
      </w:r>
      <w:r>
        <w:t xml:space="preserve"> Wybierając tylko przedsiębiorstwa sekcji PKD 2007 - Budownictwo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E46"/>
    <w:multiLevelType w:val="hybridMultilevel"/>
    <w:tmpl w:val="75E0A9A6"/>
    <w:lvl w:ilvl="0" w:tplc="267C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B77EB"/>
    <w:multiLevelType w:val="hybridMultilevel"/>
    <w:tmpl w:val="D004E414"/>
    <w:lvl w:ilvl="0" w:tplc="07F45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03D6B"/>
    <w:multiLevelType w:val="hybridMultilevel"/>
    <w:tmpl w:val="E5184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A3983"/>
    <w:multiLevelType w:val="multilevel"/>
    <w:tmpl w:val="08642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305C0"/>
    <w:multiLevelType w:val="hybridMultilevel"/>
    <w:tmpl w:val="8296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426FD"/>
    <w:multiLevelType w:val="multilevel"/>
    <w:tmpl w:val="0BC2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EFD"/>
    <w:rsid w:val="00007EB5"/>
    <w:rsid w:val="000540D7"/>
    <w:rsid w:val="00067656"/>
    <w:rsid w:val="00094718"/>
    <w:rsid w:val="000A1714"/>
    <w:rsid w:val="000A5204"/>
    <w:rsid w:val="0011115E"/>
    <w:rsid w:val="00117322"/>
    <w:rsid w:val="001A4CB4"/>
    <w:rsid w:val="001E293B"/>
    <w:rsid w:val="001E5DC2"/>
    <w:rsid w:val="001F6CD6"/>
    <w:rsid w:val="001F7F06"/>
    <w:rsid w:val="0020379D"/>
    <w:rsid w:val="00211CBB"/>
    <w:rsid w:val="00213E26"/>
    <w:rsid w:val="00224797"/>
    <w:rsid w:val="002768B3"/>
    <w:rsid w:val="002C459B"/>
    <w:rsid w:val="00333C78"/>
    <w:rsid w:val="00335D9C"/>
    <w:rsid w:val="003534FC"/>
    <w:rsid w:val="00377972"/>
    <w:rsid w:val="003923BC"/>
    <w:rsid w:val="00405ACB"/>
    <w:rsid w:val="00424C2B"/>
    <w:rsid w:val="0044264D"/>
    <w:rsid w:val="004539CD"/>
    <w:rsid w:val="004B0121"/>
    <w:rsid w:val="004B79F3"/>
    <w:rsid w:val="004E6F44"/>
    <w:rsid w:val="0051023E"/>
    <w:rsid w:val="00512DEE"/>
    <w:rsid w:val="00555CDA"/>
    <w:rsid w:val="005B40DD"/>
    <w:rsid w:val="005B7137"/>
    <w:rsid w:val="005E0C32"/>
    <w:rsid w:val="006755C7"/>
    <w:rsid w:val="00720FE0"/>
    <w:rsid w:val="00722DD3"/>
    <w:rsid w:val="007331C0"/>
    <w:rsid w:val="00780AB2"/>
    <w:rsid w:val="00786063"/>
    <w:rsid w:val="007A16C0"/>
    <w:rsid w:val="007A70F4"/>
    <w:rsid w:val="007D2074"/>
    <w:rsid w:val="0081359B"/>
    <w:rsid w:val="00815898"/>
    <w:rsid w:val="0087456A"/>
    <w:rsid w:val="00877C14"/>
    <w:rsid w:val="008C6D6D"/>
    <w:rsid w:val="008C707B"/>
    <w:rsid w:val="00920772"/>
    <w:rsid w:val="0092115F"/>
    <w:rsid w:val="00960342"/>
    <w:rsid w:val="00967BB4"/>
    <w:rsid w:val="009748C4"/>
    <w:rsid w:val="009A7A3D"/>
    <w:rsid w:val="009B4B40"/>
    <w:rsid w:val="00A91106"/>
    <w:rsid w:val="00AD3D32"/>
    <w:rsid w:val="00AD526A"/>
    <w:rsid w:val="00AD79DC"/>
    <w:rsid w:val="00AF44CB"/>
    <w:rsid w:val="00AF5990"/>
    <w:rsid w:val="00B25B1F"/>
    <w:rsid w:val="00B25EF5"/>
    <w:rsid w:val="00B73B81"/>
    <w:rsid w:val="00B84CE5"/>
    <w:rsid w:val="00B87985"/>
    <w:rsid w:val="00BF13D1"/>
    <w:rsid w:val="00C5357D"/>
    <w:rsid w:val="00C537BB"/>
    <w:rsid w:val="00CA688D"/>
    <w:rsid w:val="00D1152E"/>
    <w:rsid w:val="00D169FA"/>
    <w:rsid w:val="00D16B56"/>
    <w:rsid w:val="00D20F95"/>
    <w:rsid w:val="00D57A6F"/>
    <w:rsid w:val="00D904FF"/>
    <w:rsid w:val="00DC7166"/>
    <w:rsid w:val="00DD7AAB"/>
    <w:rsid w:val="00E27130"/>
    <w:rsid w:val="00EB1258"/>
    <w:rsid w:val="00EE29E3"/>
    <w:rsid w:val="00EF150B"/>
    <w:rsid w:val="00EF1E51"/>
    <w:rsid w:val="00F47D39"/>
    <w:rsid w:val="00F77EFD"/>
    <w:rsid w:val="00F8512E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7F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2DD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9E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5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5D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5D9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33C78"/>
    <w:rPr>
      <w:b/>
      <w:bCs/>
    </w:rPr>
  </w:style>
  <w:style w:type="character" w:customStyle="1" w:styleId="apple-converted-space">
    <w:name w:val="apple-converted-space"/>
    <w:basedOn w:val="Domylnaczcionkaakapitu"/>
    <w:rsid w:val="00333C78"/>
  </w:style>
  <w:style w:type="character" w:customStyle="1" w:styleId="Styl3">
    <w:name w:val="Styl3"/>
    <w:uiPriority w:val="1"/>
    <w:rsid w:val="00DC7166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47D57-2E52-414A-B743-C34A866A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2771</Words>
  <Characters>16626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Samsung</cp:lastModifiedBy>
  <cp:revision>2</cp:revision>
  <cp:lastPrinted>2016-09-15T11:19:00Z</cp:lastPrinted>
  <dcterms:created xsi:type="dcterms:W3CDTF">2016-09-30T15:49:00Z</dcterms:created>
  <dcterms:modified xsi:type="dcterms:W3CDTF">2016-09-30T15:49:00Z</dcterms:modified>
</cp:coreProperties>
</file>