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96" w:rsidRPr="004F75F4" w:rsidRDefault="00B96608" w:rsidP="009A72E8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4F75F4">
        <w:rPr>
          <w:rFonts w:ascii="Times New Roman" w:hAnsi="Times New Roman"/>
          <w:b/>
          <w:sz w:val="20"/>
          <w:szCs w:val="20"/>
        </w:rPr>
        <w:t xml:space="preserve">Magdalena </w:t>
      </w:r>
      <w:proofErr w:type="spellStart"/>
      <w:r w:rsidRPr="004F75F4">
        <w:rPr>
          <w:rFonts w:ascii="Times New Roman" w:hAnsi="Times New Roman"/>
          <w:b/>
          <w:sz w:val="20"/>
          <w:szCs w:val="20"/>
        </w:rPr>
        <w:t>Mosio</w:t>
      </w:r>
      <w:r w:rsidR="00BB7E96" w:rsidRPr="004F75F4">
        <w:rPr>
          <w:rFonts w:ascii="Times New Roman" w:hAnsi="Times New Roman"/>
          <w:b/>
          <w:sz w:val="20"/>
          <w:szCs w:val="20"/>
        </w:rPr>
        <w:t>nek-Schweda</w:t>
      </w:r>
      <w:proofErr w:type="spellEnd"/>
      <w:r w:rsidR="00BB7E96" w:rsidRPr="004F75F4">
        <w:rPr>
          <w:rFonts w:ascii="Times New Roman" w:hAnsi="Times New Roman"/>
          <w:b/>
          <w:sz w:val="20"/>
          <w:szCs w:val="20"/>
        </w:rPr>
        <w:t xml:space="preserve">, dr, Uniwersytet Gdański, </w:t>
      </w:r>
      <w:r w:rsidR="00640486">
        <w:rPr>
          <w:rFonts w:ascii="Times New Roman" w:hAnsi="Times New Roman"/>
          <w:b/>
          <w:sz w:val="20"/>
          <w:szCs w:val="20"/>
        </w:rPr>
        <w:t xml:space="preserve">Wydział Ekonomiczny, </w:t>
      </w:r>
      <w:r w:rsidR="00BB7E96" w:rsidRPr="004F75F4">
        <w:rPr>
          <w:rFonts w:ascii="Times New Roman" w:hAnsi="Times New Roman"/>
          <w:b/>
          <w:sz w:val="20"/>
          <w:szCs w:val="20"/>
        </w:rPr>
        <w:t xml:space="preserve">Zakład Międzynarodowych Rynków Finansowych </w:t>
      </w:r>
    </w:p>
    <w:p w:rsidR="00BB7E96" w:rsidRPr="004F75F4" w:rsidRDefault="00BB7E96" w:rsidP="009A72E8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F75F4">
        <w:rPr>
          <w:rFonts w:ascii="Times New Roman" w:hAnsi="Times New Roman"/>
          <w:b/>
          <w:sz w:val="20"/>
          <w:szCs w:val="20"/>
        </w:rPr>
        <w:t xml:space="preserve">Urszula Mrzygłód, dr, Uniwersytet Gdański, </w:t>
      </w:r>
      <w:r w:rsidR="00640486">
        <w:rPr>
          <w:rFonts w:ascii="Times New Roman" w:hAnsi="Times New Roman"/>
          <w:b/>
          <w:sz w:val="20"/>
          <w:szCs w:val="20"/>
        </w:rPr>
        <w:t>Wydział Ekonomiczny</w:t>
      </w:r>
      <w:r w:rsidRPr="004F75F4">
        <w:rPr>
          <w:rFonts w:ascii="Times New Roman" w:hAnsi="Times New Roman"/>
          <w:b/>
          <w:sz w:val="20"/>
          <w:szCs w:val="20"/>
        </w:rPr>
        <w:t xml:space="preserve">, Zakład Międzynarodowych Rynków Finansowych </w:t>
      </w:r>
    </w:p>
    <w:p w:rsidR="00BB7E96" w:rsidRPr="004F75F4" w:rsidRDefault="00BB7E96" w:rsidP="009A72E8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F75F4">
        <w:rPr>
          <w:rFonts w:ascii="Times New Roman" w:hAnsi="Times New Roman"/>
          <w:b/>
          <w:sz w:val="20"/>
          <w:szCs w:val="20"/>
        </w:rPr>
        <w:t xml:space="preserve">Sabina Nowak, dr, Uniwersytet Gdański, Wydział Zarządzania, Katedra Ekonometrii </w:t>
      </w:r>
    </w:p>
    <w:p w:rsidR="00BB7E96" w:rsidRPr="007D7FC8" w:rsidRDefault="00BB7E96" w:rsidP="00537D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mallCaps/>
          <w:lang w:val="en-US"/>
        </w:rPr>
      </w:pPr>
      <w:r w:rsidRPr="00D41FEA">
        <w:rPr>
          <w:rFonts w:ascii="Helvetica" w:eastAsia="Times New Roman" w:hAnsi="Helvetica" w:cs="Helvetica"/>
          <w:color w:val="141412"/>
          <w:sz w:val="24"/>
          <w:szCs w:val="24"/>
        </w:rPr>
        <w:t xml:space="preserve"> </w:t>
      </w:r>
      <w:r w:rsidR="006D0F93" w:rsidRPr="007D7FC8">
        <w:rPr>
          <w:rFonts w:ascii="Times New Roman" w:hAnsi="Times New Roman"/>
          <w:b/>
          <w:smallCaps/>
          <w:lang w:val="en-GB"/>
        </w:rPr>
        <w:t xml:space="preserve">Title: </w:t>
      </w:r>
      <w:r w:rsidRPr="007D7FC8">
        <w:rPr>
          <w:rFonts w:ascii="Times New Roman" w:hAnsi="Times New Roman"/>
          <w:b/>
          <w:smallCaps/>
          <w:lang w:val="en-GB"/>
        </w:rPr>
        <w:t>Dividend smoothing on emerging stock markets – the evidence from the Latin American stock exchanges</w:t>
      </w:r>
    </w:p>
    <w:p w:rsidR="006D0F93" w:rsidRPr="007D7FC8" w:rsidRDefault="006D0F93" w:rsidP="00264488">
      <w:pPr>
        <w:jc w:val="both"/>
        <w:rPr>
          <w:rFonts w:ascii="Times New Roman" w:hAnsi="Times New Roman"/>
          <w:b/>
          <w:smallCaps/>
          <w:lang w:val="en-GB"/>
        </w:rPr>
      </w:pPr>
      <w:r w:rsidRPr="007D7FC8">
        <w:rPr>
          <w:rFonts w:ascii="Times New Roman" w:hAnsi="Times New Roman"/>
          <w:b/>
          <w:smallCaps/>
          <w:lang w:val="en-GB"/>
        </w:rPr>
        <w:t xml:space="preserve">(Structure of the presentation) </w:t>
      </w:r>
    </w:p>
    <w:p w:rsidR="009A72E8" w:rsidRPr="007D7FC8" w:rsidRDefault="009A72E8" w:rsidP="00537DF0">
      <w:pPr>
        <w:spacing w:after="0" w:line="240" w:lineRule="auto"/>
        <w:jc w:val="both"/>
        <w:rPr>
          <w:rFonts w:ascii="Times New Roman" w:hAnsi="Times New Roman"/>
          <w:b/>
          <w:smallCaps/>
          <w:lang w:val="en-GB"/>
        </w:rPr>
      </w:pPr>
      <w:r w:rsidRPr="007D7FC8">
        <w:rPr>
          <w:rFonts w:ascii="Times New Roman" w:hAnsi="Times New Roman"/>
          <w:b/>
          <w:smallCaps/>
          <w:lang w:val="en-GB"/>
        </w:rPr>
        <w:t>Research are</w:t>
      </w:r>
      <w:r w:rsidR="00586DA7" w:rsidRPr="007D7FC8">
        <w:rPr>
          <w:rFonts w:ascii="Times New Roman" w:hAnsi="Times New Roman"/>
          <w:b/>
          <w:smallCaps/>
          <w:lang w:val="en-GB"/>
        </w:rPr>
        <w:t>a and brief literature review</w:t>
      </w:r>
    </w:p>
    <w:p w:rsidR="001D2026" w:rsidRPr="007D7FC8" w:rsidRDefault="00264488" w:rsidP="00537DF0">
      <w:pPr>
        <w:spacing w:after="0" w:line="240" w:lineRule="auto"/>
        <w:jc w:val="both"/>
        <w:rPr>
          <w:rFonts w:ascii="Times New Roman" w:hAnsi="Times New Roman"/>
          <w:lang w:val="en-GB"/>
        </w:rPr>
      </w:pPr>
      <w:r w:rsidRPr="007D7FC8">
        <w:rPr>
          <w:rFonts w:ascii="Times New Roman" w:hAnsi="Times New Roman"/>
          <w:lang w:val="en-GB"/>
        </w:rPr>
        <w:t xml:space="preserve">Each shareholder, as a provider of capital for a company, requires an appropriate rate of return on the investment. As it is generally understood that the shareholders’ wealth stems from </w:t>
      </w:r>
      <w:r w:rsidR="00156B79" w:rsidRPr="007D7FC8">
        <w:rPr>
          <w:rFonts w:ascii="Times New Roman" w:hAnsi="Times New Roman"/>
          <w:lang w:val="en-GB"/>
        </w:rPr>
        <w:t xml:space="preserve">the </w:t>
      </w:r>
      <w:r w:rsidRPr="007D7FC8">
        <w:rPr>
          <w:rFonts w:ascii="Times New Roman" w:hAnsi="Times New Roman"/>
          <w:lang w:val="en-GB"/>
        </w:rPr>
        <w:t xml:space="preserve">stock price appreciation and dividends, no agreement is made on the theoretical explanations of profit sharing and dividend </w:t>
      </w:r>
      <w:proofErr w:type="spellStart"/>
      <w:r w:rsidRPr="007D7FC8">
        <w:rPr>
          <w:rFonts w:ascii="Times New Roman" w:hAnsi="Times New Roman"/>
          <w:lang w:val="en-GB"/>
        </w:rPr>
        <w:t>payouts</w:t>
      </w:r>
      <w:proofErr w:type="spellEnd"/>
      <w:r w:rsidRPr="007D7FC8">
        <w:rPr>
          <w:rFonts w:ascii="Times New Roman" w:hAnsi="Times New Roman"/>
          <w:lang w:val="en-GB"/>
        </w:rPr>
        <w:t xml:space="preserve"> from the company’s perspective. As such the problem of dividend policy, its determinants and means ha</w:t>
      </w:r>
      <w:r w:rsidR="00586DA7" w:rsidRPr="007D7FC8">
        <w:rPr>
          <w:rFonts w:ascii="Times New Roman" w:hAnsi="Times New Roman"/>
          <w:lang w:val="en-GB"/>
        </w:rPr>
        <w:t>ve</w:t>
      </w:r>
      <w:r w:rsidRPr="007D7FC8">
        <w:rPr>
          <w:rFonts w:ascii="Times New Roman" w:hAnsi="Times New Roman"/>
          <w:lang w:val="en-GB"/>
        </w:rPr>
        <w:t xml:space="preserve"> puzzled financial economists for many years and attracted considerable attention. However</w:t>
      </w:r>
      <w:r w:rsidR="00586DA7" w:rsidRPr="007D7FC8">
        <w:rPr>
          <w:rFonts w:ascii="Times New Roman" w:hAnsi="Times New Roman"/>
          <w:lang w:val="en-GB"/>
        </w:rPr>
        <w:t>,</w:t>
      </w:r>
      <w:r w:rsidR="0019032B">
        <w:rPr>
          <w:rFonts w:ascii="Times New Roman" w:hAnsi="Times New Roman"/>
          <w:lang w:val="en-GB"/>
        </w:rPr>
        <w:t xml:space="preserve"> despite</w:t>
      </w:r>
      <w:r w:rsidRPr="007D7FC8">
        <w:rPr>
          <w:rFonts w:ascii="Times New Roman" w:hAnsi="Times New Roman"/>
          <w:lang w:val="en-GB"/>
        </w:rPr>
        <w:t xml:space="preserve"> years of research</w:t>
      </w:r>
      <w:r w:rsidR="00586DA7" w:rsidRPr="007D7FC8">
        <w:rPr>
          <w:rFonts w:ascii="Times New Roman" w:hAnsi="Times New Roman"/>
          <w:lang w:val="en-GB"/>
        </w:rPr>
        <w:t>,</w:t>
      </w:r>
      <w:r w:rsidRPr="007D7FC8">
        <w:rPr>
          <w:rFonts w:ascii="Times New Roman" w:hAnsi="Times New Roman"/>
          <w:lang w:val="en-GB"/>
        </w:rPr>
        <w:t xml:space="preserve"> still in the financial literature there are many competing theories of the dividend policy.</w:t>
      </w:r>
      <w:r w:rsidR="00674253" w:rsidRPr="007D7FC8">
        <w:rPr>
          <w:rFonts w:ascii="Times New Roman" w:hAnsi="Times New Roman"/>
          <w:lang w:val="en-GB"/>
        </w:rPr>
        <w:t xml:space="preserve"> Among them, the o</w:t>
      </w:r>
      <w:r w:rsidR="00367CB1" w:rsidRPr="007D7FC8">
        <w:rPr>
          <w:rFonts w:ascii="Times New Roman" w:hAnsi="Times New Roman"/>
          <w:lang w:val="en-GB"/>
        </w:rPr>
        <w:t xml:space="preserve">ne </w:t>
      </w:r>
      <w:r w:rsidR="00674253" w:rsidRPr="007D7FC8">
        <w:rPr>
          <w:rFonts w:ascii="Times New Roman" w:hAnsi="Times New Roman"/>
          <w:lang w:val="en-GB"/>
        </w:rPr>
        <w:t xml:space="preserve">that </w:t>
      </w:r>
      <w:r w:rsidR="00367CB1" w:rsidRPr="007D7FC8">
        <w:rPr>
          <w:rFonts w:ascii="Times New Roman" w:hAnsi="Times New Roman"/>
          <w:lang w:val="en-GB"/>
        </w:rPr>
        <w:t>takes into account the managers perceptions</w:t>
      </w:r>
      <w:r w:rsidR="0012424E" w:rsidRPr="007D7FC8">
        <w:rPr>
          <w:rFonts w:ascii="Times New Roman" w:hAnsi="Times New Roman"/>
          <w:lang w:val="en-GB"/>
        </w:rPr>
        <w:t xml:space="preserve"> and states that decisions concerning dividend policy are rather “sticky” </w:t>
      </w:r>
      <w:r w:rsidR="00674253" w:rsidRPr="007D7FC8">
        <w:rPr>
          <w:rFonts w:ascii="Times New Roman" w:hAnsi="Times New Roman"/>
          <w:lang w:val="en-GB"/>
        </w:rPr>
        <w:t xml:space="preserve">is the </w:t>
      </w:r>
      <w:proofErr w:type="spellStart"/>
      <w:r w:rsidR="00674253" w:rsidRPr="007D7FC8">
        <w:rPr>
          <w:rFonts w:ascii="Times New Roman" w:hAnsi="Times New Roman"/>
          <w:lang w:val="en-GB"/>
        </w:rPr>
        <w:t>Lintner</w:t>
      </w:r>
      <w:proofErr w:type="spellEnd"/>
      <w:r w:rsidR="00674253" w:rsidRPr="007D7FC8">
        <w:rPr>
          <w:rFonts w:ascii="Times New Roman" w:hAnsi="Times New Roman"/>
          <w:lang w:val="en-GB"/>
        </w:rPr>
        <w:t xml:space="preserve"> dividend smoothing theory (</w:t>
      </w:r>
      <w:proofErr w:type="spellStart"/>
      <w:r w:rsidR="00674253" w:rsidRPr="007D7FC8">
        <w:rPr>
          <w:rFonts w:ascii="Times New Roman" w:hAnsi="Times New Roman"/>
          <w:lang w:val="en-GB"/>
        </w:rPr>
        <w:t>Lintner</w:t>
      </w:r>
      <w:proofErr w:type="spellEnd"/>
      <w:r w:rsidR="00674253" w:rsidRPr="007D7FC8">
        <w:rPr>
          <w:rFonts w:ascii="Times New Roman" w:hAnsi="Times New Roman"/>
          <w:lang w:val="en-GB"/>
        </w:rPr>
        <w:t xml:space="preserve"> 1956). Having done </w:t>
      </w:r>
      <w:r w:rsidR="0012424E" w:rsidRPr="007D7FC8">
        <w:rPr>
          <w:rFonts w:ascii="Times New Roman" w:hAnsi="Times New Roman"/>
          <w:lang w:val="en-GB"/>
        </w:rPr>
        <w:t xml:space="preserve">28 interviews with managers </w:t>
      </w:r>
      <w:proofErr w:type="spellStart"/>
      <w:r w:rsidR="00674253" w:rsidRPr="007D7FC8">
        <w:rPr>
          <w:rFonts w:ascii="Times New Roman" w:hAnsi="Times New Roman"/>
          <w:lang w:val="en-GB"/>
        </w:rPr>
        <w:t>Lintner</w:t>
      </w:r>
      <w:proofErr w:type="spellEnd"/>
      <w:r w:rsidR="00674253" w:rsidRPr="007D7FC8">
        <w:rPr>
          <w:rFonts w:ascii="Times New Roman" w:hAnsi="Times New Roman"/>
          <w:lang w:val="en-GB"/>
        </w:rPr>
        <w:t xml:space="preserve"> argues that managers’ decisions reveal conservatism and inertia</w:t>
      </w:r>
      <w:r w:rsidR="00586DA7" w:rsidRPr="007D7FC8">
        <w:rPr>
          <w:rFonts w:ascii="Times New Roman" w:hAnsi="Times New Roman"/>
          <w:lang w:val="en-GB"/>
        </w:rPr>
        <w:t xml:space="preserve">. Thus, </w:t>
      </w:r>
      <w:proofErr w:type="spellStart"/>
      <w:r w:rsidR="00586DA7" w:rsidRPr="007D7FC8">
        <w:rPr>
          <w:rFonts w:ascii="Times New Roman" w:hAnsi="Times New Roman"/>
          <w:lang w:val="en-GB"/>
        </w:rPr>
        <w:t>Lintner</w:t>
      </w:r>
      <w:proofErr w:type="spellEnd"/>
      <w:r w:rsidR="006D0F93" w:rsidRPr="007D7FC8">
        <w:rPr>
          <w:rFonts w:ascii="Times New Roman" w:hAnsi="Times New Roman"/>
          <w:lang w:val="en-GB"/>
        </w:rPr>
        <w:t xml:space="preserve"> </w:t>
      </w:r>
      <w:r w:rsidR="00674253" w:rsidRPr="007D7FC8">
        <w:rPr>
          <w:rFonts w:ascii="Times New Roman" w:hAnsi="Times New Roman"/>
          <w:lang w:val="en-GB"/>
        </w:rPr>
        <w:t>formulates</w:t>
      </w:r>
      <w:r w:rsidR="00D62ADD" w:rsidRPr="007D7FC8">
        <w:rPr>
          <w:rFonts w:ascii="Times New Roman" w:hAnsi="Times New Roman"/>
          <w:lang w:val="en-GB"/>
        </w:rPr>
        <w:t xml:space="preserve"> the </w:t>
      </w:r>
      <w:r w:rsidR="00674253" w:rsidRPr="007D7FC8">
        <w:rPr>
          <w:rFonts w:ascii="Times New Roman" w:hAnsi="Times New Roman"/>
          <w:lang w:val="en-GB"/>
        </w:rPr>
        <w:t>dividend partial adjustment model</w:t>
      </w:r>
      <w:r w:rsidR="006D0F93" w:rsidRPr="007D7FC8">
        <w:rPr>
          <w:rFonts w:ascii="Times New Roman" w:hAnsi="Times New Roman"/>
          <w:lang w:val="en-GB"/>
        </w:rPr>
        <w:t xml:space="preserve">. </w:t>
      </w:r>
    </w:p>
    <w:p w:rsidR="006266ED" w:rsidRPr="007D7FC8" w:rsidRDefault="006266ED" w:rsidP="00537DF0">
      <w:pPr>
        <w:pStyle w:val="TekstpodstwcityUE"/>
        <w:spacing w:after="0" w:line="240" w:lineRule="auto"/>
        <w:ind w:firstLine="0"/>
        <w:rPr>
          <w:lang w:val="en-US"/>
        </w:rPr>
      </w:pPr>
      <w:r w:rsidRPr="007D7FC8">
        <w:rPr>
          <w:lang w:val="en-US"/>
        </w:rPr>
        <w:t xml:space="preserve">The </w:t>
      </w:r>
      <w:proofErr w:type="spellStart"/>
      <w:r w:rsidRPr="007D7FC8">
        <w:rPr>
          <w:lang w:val="en-US"/>
        </w:rPr>
        <w:t>Lintner’s</w:t>
      </w:r>
      <w:proofErr w:type="spellEnd"/>
      <w:r w:rsidRPr="007D7FC8">
        <w:rPr>
          <w:lang w:val="en-US"/>
        </w:rPr>
        <w:t xml:space="preserve"> work influenced the research in the field of dividend policy. It must be stressed that in most of the empirical studies the underlying data covered companies from highly developed/mature stock markets based in advanced economies [for example McDonald et al. 1975, Khan 2006, </w:t>
      </w:r>
      <w:proofErr w:type="spellStart"/>
      <w:r w:rsidRPr="007D7FC8">
        <w:rPr>
          <w:lang w:val="en-US"/>
        </w:rPr>
        <w:t>Aivazian</w:t>
      </w:r>
      <w:proofErr w:type="spellEnd"/>
      <w:r w:rsidRPr="007D7FC8">
        <w:rPr>
          <w:lang w:val="en-US"/>
        </w:rPr>
        <w:t xml:space="preserve"> 2006, Andres et al. 2009, Leary</w:t>
      </w:r>
      <w:r w:rsidR="00D41FEA" w:rsidRPr="007D7FC8">
        <w:rPr>
          <w:lang w:val="en-US"/>
        </w:rPr>
        <w:t xml:space="preserve"> and</w:t>
      </w:r>
      <w:r w:rsidRPr="007D7FC8">
        <w:rPr>
          <w:lang w:val="en-US"/>
        </w:rPr>
        <w:t xml:space="preserve"> </w:t>
      </w:r>
      <w:proofErr w:type="spellStart"/>
      <w:r w:rsidRPr="007D7FC8">
        <w:rPr>
          <w:lang w:val="en-US"/>
        </w:rPr>
        <w:t>Michaely</w:t>
      </w:r>
      <w:proofErr w:type="spellEnd"/>
      <w:r w:rsidRPr="007D7FC8">
        <w:rPr>
          <w:lang w:val="en-US"/>
        </w:rPr>
        <w:t xml:space="preserve"> 2011, </w:t>
      </w:r>
      <w:proofErr w:type="spellStart"/>
      <w:r w:rsidRPr="007D7FC8">
        <w:rPr>
          <w:lang w:val="en-US"/>
        </w:rPr>
        <w:t>Michaely</w:t>
      </w:r>
      <w:proofErr w:type="spellEnd"/>
      <w:r w:rsidR="00D41FEA" w:rsidRPr="007D7FC8">
        <w:rPr>
          <w:lang w:val="en-US"/>
        </w:rPr>
        <w:t xml:space="preserve"> and</w:t>
      </w:r>
      <w:r w:rsidRPr="007D7FC8">
        <w:rPr>
          <w:lang w:val="en-US"/>
        </w:rPr>
        <w:t xml:space="preserve"> Roberts 2012, Chen et al. 2012, </w:t>
      </w:r>
      <w:proofErr w:type="spellStart"/>
      <w:r w:rsidRPr="007D7FC8">
        <w:rPr>
          <w:lang w:val="en-US"/>
        </w:rPr>
        <w:t>Fama</w:t>
      </w:r>
      <w:proofErr w:type="spellEnd"/>
      <w:r w:rsidRPr="007D7FC8">
        <w:rPr>
          <w:lang w:val="en-US"/>
        </w:rPr>
        <w:t xml:space="preserve"> and </w:t>
      </w:r>
      <w:proofErr w:type="spellStart"/>
      <w:r w:rsidRPr="007D7FC8">
        <w:rPr>
          <w:lang w:val="en-US"/>
        </w:rPr>
        <w:t>Babiak</w:t>
      </w:r>
      <w:proofErr w:type="spellEnd"/>
      <w:r w:rsidR="00FA614D" w:rsidRPr="007D7FC8">
        <w:rPr>
          <w:lang w:val="en-US"/>
        </w:rPr>
        <w:t xml:space="preserve"> 1968</w:t>
      </w:r>
      <w:r w:rsidRPr="007D7FC8">
        <w:rPr>
          <w:lang w:val="en-US"/>
        </w:rPr>
        <w:t>]. The results, in overall, confirm the existence of smoothing behavior on different stock markets.</w:t>
      </w:r>
      <w:r w:rsidR="005F37D5" w:rsidRPr="007D7FC8">
        <w:rPr>
          <w:lang w:val="en-US"/>
        </w:rPr>
        <w:t xml:space="preserve"> </w:t>
      </w:r>
      <w:r w:rsidRPr="007D7FC8">
        <w:rPr>
          <w:lang w:val="en-US"/>
        </w:rPr>
        <w:t xml:space="preserve">Taking the geographical coverage into account one can see that in recent years, there is a growing interest to investigate the problem of dividend smoothing on the less developed stock markets from emerging countries. Here we can find studies of </w:t>
      </w:r>
      <w:proofErr w:type="spellStart"/>
      <w:r w:rsidRPr="007D7FC8">
        <w:rPr>
          <w:lang w:val="en-US"/>
        </w:rPr>
        <w:t>Javakhadze</w:t>
      </w:r>
      <w:proofErr w:type="spellEnd"/>
      <w:r w:rsidRPr="007D7FC8">
        <w:rPr>
          <w:lang w:val="en-US"/>
        </w:rPr>
        <w:t xml:space="preserve"> et al. (2014), Benavides et al. (2016), </w:t>
      </w:r>
      <w:proofErr w:type="spellStart"/>
      <w:r w:rsidRPr="007D7FC8">
        <w:rPr>
          <w:lang w:val="en-US"/>
        </w:rPr>
        <w:t>Aivazian</w:t>
      </w:r>
      <w:proofErr w:type="spellEnd"/>
      <w:r w:rsidRPr="007D7FC8">
        <w:rPr>
          <w:lang w:val="en-US"/>
        </w:rPr>
        <w:t xml:space="preserve"> et al. (2003), </w:t>
      </w:r>
      <w:proofErr w:type="spellStart"/>
      <w:r w:rsidRPr="007D7FC8">
        <w:rPr>
          <w:lang w:val="en-US"/>
        </w:rPr>
        <w:t>Chemmanur</w:t>
      </w:r>
      <w:proofErr w:type="spellEnd"/>
      <w:r w:rsidRPr="007D7FC8">
        <w:rPr>
          <w:lang w:val="en-US"/>
        </w:rPr>
        <w:t xml:space="preserve"> et al. (2010), </w:t>
      </w:r>
      <w:proofErr w:type="spellStart"/>
      <w:r w:rsidRPr="007D7FC8">
        <w:rPr>
          <w:lang w:val="en-US"/>
        </w:rPr>
        <w:t>Jeong</w:t>
      </w:r>
      <w:proofErr w:type="spellEnd"/>
      <w:r w:rsidRPr="007D7FC8">
        <w:rPr>
          <w:lang w:val="en-US"/>
        </w:rPr>
        <w:t xml:space="preserve"> (2013), </w:t>
      </w:r>
      <w:proofErr w:type="spellStart"/>
      <w:r w:rsidR="0085563F">
        <w:rPr>
          <w:lang w:val="en-US"/>
        </w:rPr>
        <w:t>Adaoglu</w:t>
      </w:r>
      <w:proofErr w:type="spellEnd"/>
      <w:r w:rsidR="0085563F">
        <w:rPr>
          <w:lang w:val="en-US"/>
        </w:rPr>
        <w:t xml:space="preserve"> (2000), </w:t>
      </w:r>
      <w:proofErr w:type="spellStart"/>
      <w:r w:rsidR="0085563F">
        <w:rPr>
          <w:lang w:val="en-US"/>
        </w:rPr>
        <w:t>Omet</w:t>
      </w:r>
      <w:proofErr w:type="spellEnd"/>
      <w:r w:rsidR="0085563F">
        <w:rPr>
          <w:lang w:val="en-US"/>
        </w:rPr>
        <w:t xml:space="preserve"> (2004), Al-</w:t>
      </w:r>
      <w:proofErr w:type="spellStart"/>
      <w:r w:rsidRPr="007D7FC8">
        <w:rPr>
          <w:lang w:val="en-US"/>
        </w:rPr>
        <w:t>Najjar</w:t>
      </w:r>
      <w:proofErr w:type="spellEnd"/>
      <w:r w:rsidRPr="007D7FC8">
        <w:rPr>
          <w:lang w:val="en-US"/>
        </w:rPr>
        <w:t xml:space="preserve"> (2009), Pandey</w:t>
      </w:r>
      <w:r w:rsidR="00D41FEA" w:rsidRPr="007D7FC8">
        <w:rPr>
          <w:lang w:val="en-US"/>
        </w:rPr>
        <w:t xml:space="preserve"> and</w:t>
      </w:r>
      <w:r w:rsidRPr="007D7FC8">
        <w:rPr>
          <w:lang w:val="en-US"/>
        </w:rPr>
        <w:t xml:space="preserve"> Bhat (2007), Tran</w:t>
      </w:r>
      <w:r w:rsidR="00156B79" w:rsidRPr="007D7FC8">
        <w:rPr>
          <w:lang w:val="en-US"/>
        </w:rPr>
        <w:t xml:space="preserve"> and </w:t>
      </w:r>
      <w:r w:rsidRPr="007D7FC8">
        <w:rPr>
          <w:lang w:val="en-US"/>
        </w:rPr>
        <w:t>Nguyen (2014), Al</w:t>
      </w:r>
      <w:r w:rsidR="00586DA7" w:rsidRPr="007D7FC8">
        <w:rPr>
          <w:lang w:val="en-US"/>
        </w:rPr>
        <w:t xml:space="preserve"> </w:t>
      </w:r>
      <w:proofErr w:type="spellStart"/>
      <w:r w:rsidRPr="007D7FC8">
        <w:rPr>
          <w:lang w:val="en-US"/>
        </w:rPr>
        <w:t>Yahyaee</w:t>
      </w:r>
      <w:proofErr w:type="spellEnd"/>
      <w:r w:rsidRPr="007D7FC8">
        <w:rPr>
          <w:lang w:val="en-US"/>
        </w:rPr>
        <w:t xml:space="preserve"> (2010), Al-</w:t>
      </w:r>
      <w:proofErr w:type="spellStart"/>
      <w:r w:rsidRPr="007D7FC8">
        <w:rPr>
          <w:lang w:val="en-US"/>
        </w:rPr>
        <w:t>Malkawi</w:t>
      </w:r>
      <w:proofErr w:type="spellEnd"/>
      <w:r w:rsidRPr="007D7FC8">
        <w:rPr>
          <w:lang w:val="en-US"/>
        </w:rPr>
        <w:t xml:space="preserve"> et al. (2014), </w:t>
      </w:r>
      <w:proofErr w:type="spellStart"/>
      <w:r w:rsidRPr="007D7FC8">
        <w:rPr>
          <w:lang w:val="en-US"/>
        </w:rPr>
        <w:t>Wolmarans</w:t>
      </w:r>
      <w:proofErr w:type="spellEnd"/>
      <w:r w:rsidRPr="007D7FC8">
        <w:rPr>
          <w:lang w:val="en-US"/>
        </w:rPr>
        <w:t xml:space="preserve"> (2003), Al</w:t>
      </w:r>
      <w:r w:rsidR="00586DA7" w:rsidRPr="007D7FC8">
        <w:rPr>
          <w:lang w:val="en-US"/>
        </w:rPr>
        <w:t xml:space="preserve"> </w:t>
      </w:r>
      <w:proofErr w:type="spellStart"/>
      <w:r w:rsidRPr="007D7FC8">
        <w:rPr>
          <w:lang w:val="en-US"/>
        </w:rPr>
        <w:t>Ajmi</w:t>
      </w:r>
      <w:proofErr w:type="spellEnd"/>
      <w:r w:rsidRPr="007D7FC8">
        <w:rPr>
          <w:lang w:val="en-US"/>
        </w:rPr>
        <w:t xml:space="preserve"> and Hussain (2011)</w:t>
      </w:r>
      <w:r w:rsidR="00586DA7" w:rsidRPr="007D7FC8">
        <w:rPr>
          <w:lang w:val="en-US"/>
        </w:rPr>
        <w:t>.</w:t>
      </w:r>
      <w:r w:rsidRPr="007D7FC8">
        <w:rPr>
          <w:lang w:val="en-US"/>
        </w:rPr>
        <w:t xml:space="preserve"> However, also in this group of studies, except </w:t>
      </w:r>
      <w:proofErr w:type="spellStart"/>
      <w:r w:rsidRPr="007D7FC8">
        <w:rPr>
          <w:lang w:val="en-US"/>
        </w:rPr>
        <w:t>Javakhadze</w:t>
      </w:r>
      <w:proofErr w:type="spellEnd"/>
      <w:r w:rsidRPr="007D7FC8">
        <w:rPr>
          <w:lang w:val="en-US"/>
        </w:rPr>
        <w:t xml:space="preserve"> et al. (2014), and just recently published Benavides et al. (2016) paper, studies are devoted to the one particular country and there is a lack of comparisons in a broader international context.</w:t>
      </w:r>
    </w:p>
    <w:p w:rsidR="00537DF0" w:rsidRPr="007D7FC8" w:rsidRDefault="00537DF0" w:rsidP="00537DF0">
      <w:pPr>
        <w:spacing w:after="0" w:line="240" w:lineRule="auto"/>
        <w:jc w:val="both"/>
        <w:rPr>
          <w:rFonts w:ascii="Times New Roman" w:hAnsi="Times New Roman"/>
          <w:b/>
          <w:smallCaps/>
          <w:lang w:val="en-GB"/>
        </w:rPr>
      </w:pPr>
    </w:p>
    <w:p w:rsidR="009A72E8" w:rsidRPr="007D7FC8" w:rsidRDefault="009A72E8" w:rsidP="00537DF0">
      <w:pPr>
        <w:spacing w:after="0" w:line="240" w:lineRule="auto"/>
        <w:jc w:val="both"/>
        <w:rPr>
          <w:rFonts w:ascii="Times New Roman" w:hAnsi="Times New Roman"/>
          <w:b/>
          <w:smallCaps/>
          <w:lang w:val="en-GB"/>
        </w:rPr>
      </w:pPr>
      <w:r w:rsidRPr="007D7FC8">
        <w:rPr>
          <w:rFonts w:ascii="Times New Roman" w:hAnsi="Times New Roman"/>
          <w:b/>
          <w:smallCaps/>
          <w:lang w:val="en-GB"/>
        </w:rPr>
        <w:t xml:space="preserve">Research </w:t>
      </w:r>
      <w:r w:rsidR="00586DA7" w:rsidRPr="007D7FC8">
        <w:rPr>
          <w:rFonts w:ascii="Times New Roman" w:hAnsi="Times New Roman"/>
          <w:b/>
          <w:smallCaps/>
          <w:lang w:val="en-GB"/>
        </w:rPr>
        <w:t>aim</w:t>
      </w:r>
      <w:r w:rsidR="00294CEE" w:rsidRPr="007D7FC8">
        <w:rPr>
          <w:rFonts w:ascii="Times New Roman" w:hAnsi="Times New Roman"/>
          <w:b/>
          <w:smallCaps/>
          <w:lang w:val="en-GB"/>
        </w:rPr>
        <w:t>, Questions</w:t>
      </w:r>
      <w:r w:rsidR="00A319AC" w:rsidRPr="007D7FC8">
        <w:rPr>
          <w:rFonts w:ascii="Times New Roman" w:hAnsi="Times New Roman"/>
          <w:b/>
          <w:smallCaps/>
          <w:lang w:val="en-GB"/>
        </w:rPr>
        <w:t xml:space="preserve"> And Hypotheses</w:t>
      </w:r>
    </w:p>
    <w:p w:rsidR="00294CEE" w:rsidRPr="007D7FC8" w:rsidRDefault="009A72E8" w:rsidP="00537DF0">
      <w:pPr>
        <w:pStyle w:val="Bezodstpw"/>
        <w:jc w:val="both"/>
        <w:rPr>
          <w:rFonts w:ascii="Times New Roman" w:hAnsi="Times New Roman"/>
          <w:lang w:val="en-GB"/>
        </w:rPr>
      </w:pPr>
      <w:r w:rsidRPr="007D7FC8">
        <w:rPr>
          <w:rFonts w:ascii="Times New Roman" w:hAnsi="Times New Roman"/>
          <w:lang w:val="en-GB"/>
        </w:rPr>
        <w:t>The main goal</w:t>
      </w:r>
      <w:r w:rsidR="00586DA7" w:rsidRPr="007D7FC8">
        <w:rPr>
          <w:rFonts w:ascii="Times New Roman" w:hAnsi="Times New Roman"/>
          <w:lang w:val="en-GB"/>
        </w:rPr>
        <w:t xml:space="preserve"> of the research</w:t>
      </w:r>
      <w:r w:rsidRPr="007D7FC8">
        <w:rPr>
          <w:rFonts w:ascii="Times New Roman" w:hAnsi="Times New Roman"/>
          <w:lang w:val="en-GB"/>
        </w:rPr>
        <w:t xml:space="preserve"> is to prove the existence of dividend smoothing </w:t>
      </w:r>
      <w:r w:rsidR="00586DA7" w:rsidRPr="007D7FC8">
        <w:rPr>
          <w:rFonts w:ascii="Times New Roman" w:hAnsi="Times New Roman"/>
          <w:lang w:val="en-GB"/>
        </w:rPr>
        <w:t>phenomenon</w:t>
      </w:r>
      <w:r w:rsidRPr="007D7FC8">
        <w:rPr>
          <w:rFonts w:ascii="Times New Roman" w:hAnsi="Times New Roman"/>
          <w:lang w:val="en-GB"/>
        </w:rPr>
        <w:t xml:space="preserve"> among </w:t>
      </w:r>
      <w:r w:rsidR="007677B1" w:rsidRPr="007D7FC8">
        <w:rPr>
          <w:rFonts w:ascii="Times New Roman" w:hAnsi="Times New Roman"/>
          <w:lang w:val="en-GB"/>
        </w:rPr>
        <w:t xml:space="preserve">the </w:t>
      </w:r>
      <w:r w:rsidRPr="007D7FC8">
        <w:rPr>
          <w:rFonts w:ascii="Times New Roman" w:hAnsi="Times New Roman"/>
          <w:lang w:val="en-GB"/>
        </w:rPr>
        <w:t xml:space="preserve">companies listed on the selected </w:t>
      </w:r>
      <w:r w:rsidR="00294CEE" w:rsidRPr="007D7FC8">
        <w:rPr>
          <w:rFonts w:ascii="Times New Roman" w:hAnsi="Times New Roman"/>
          <w:lang w:val="en-GB"/>
        </w:rPr>
        <w:t xml:space="preserve">emerging </w:t>
      </w:r>
      <w:r w:rsidRPr="007D7FC8">
        <w:rPr>
          <w:rFonts w:ascii="Times New Roman" w:hAnsi="Times New Roman"/>
          <w:lang w:val="en-GB"/>
        </w:rPr>
        <w:t>stock markets</w:t>
      </w:r>
      <w:r w:rsidR="006D0F93" w:rsidRPr="007D7FC8">
        <w:rPr>
          <w:rFonts w:ascii="Times New Roman" w:hAnsi="Times New Roman"/>
          <w:lang w:val="en-GB"/>
        </w:rPr>
        <w:t xml:space="preserve"> on the basis of the </w:t>
      </w:r>
      <w:proofErr w:type="spellStart"/>
      <w:r w:rsidR="0040047D" w:rsidRPr="007D7FC8">
        <w:rPr>
          <w:rFonts w:ascii="Times New Roman" w:hAnsi="Times New Roman"/>
          <w:lang w:val="en-GB"/>
        </w:rPr>
        <w:t>Lintners</w:t>
      </w:r>
      <w:proofErr w:type="spellEnd"/>
      <w:r w:rsidR="0040047D" w:rsidRPr="007D7FC8">
        <w:rPr>
          <w:rFonts w:ascii="Times New Roman" w:hAnsi="Times New Roman"/>
          <w:lang w:val="en-GB"/>
        </w:rPr>
        <w:t xml:space="preserve">’ </w:t>
      </w:r>
      <w:r w:rsidR="006D0F93" w:rsidRPr="007D7FC8">
        <w:rPr>
          <w:rFonts w:ascii="Times New Roman" w:hAnsi="Times New Roman"/>
          <w:lang w:val="en-GB"/>
        </w:rPr>
        <w:t xml:space="preserve">dividend partial adjustment model </w:t>
      </w:r>
      <w:r w:rsidR="006D5E40" w:rsidRPr="007D7FC8">
        <w:rPr>
          <w:rFonts w:ascii="Times New Roman" w:hAnsi="Times New Roman"/>
          <w:lang w:val="en-GB"/>
        </w:rPr>
        <w:t>(1956)</w:t>
      </w:r>
      <w:r w:rsidR="006D0F93" w:rsidRPr="007D7FC8">
        <w:rPr>
          <w:rFonts w:ascii="Times New Roman" w:hAnsi="Times New Roman"/>
          <w:lang w:val="en-GB"/>
        </w:rPr>
        <w:t>.</w:t>
      </w:r>
      <w:r w:rsidR="005F37D5" w:rsidRPr="007D7FC8">
        <w:rPr>
          <w:rFonts w:ascii="Times New Roman" w:hAnsi="Times New Roman"/>
          <w:lang w:val="en-GB"/>
        </w:rPr>
        <w:t xml:space="preserve"> </w:t>
      </w:r>
      <w:r w:rsidR="00652D65" w:rsidRPr="007D7FC8">
        <w:rPr>
          <w:rFonts w:ascii="Times New Roman" w:hAnsi="Times New Roman"/>
          <w:lang w:val="en-GB"/>
        </w:rPr>
        <w:t>The basic re</w:t>
      </w:r>
      <w:r w:rsidR="0085563F">
        <w:rPr>
          <w:rFonts w:ascii="Times New Roman" w:hAnsi="Times New Roman"/>
          <w:lang w:val="en-GB"/>
        </w:rPr>
        <w:t>search question is the as follows</w:t>
      </w:r>
      <w:r w:rsidR="00652D65" w:rsidRPr="007D7FC8">
        <w:rPr>
          <w:rFonts w:ascii="Times New Roman" w:hAnsi="Times New Roman"/>
          <w:lang w:val="en-GB"/>
        </w:rPr>
        <w:t xml:space="preserve">: </w:t>
      </w:r>
      <w:r w:rsidR="00294CEE" w:rsidRPr="007D7FC8">
        <w:rPr>
          <w:rFonts w:ascii="Times New Roman" w:hAnsi="Times New Roman"/>
          <w:lang w:val="en-GB"/>
        </w:rPr>
        <w:t>Can we distinguish companies on the selected emerging stock markets whose dividend policy undergoes smoothing?</w:t>
      </w:r>
    </w:p>
    <w:p w:rsidR="0040047D" w:rsidRPr="001B5E99" w:rsidRDefault="00985E7B" w:rsidP="00537DF0">
      <w:pPr>
        <w:pStyle w:val="Bezodstpw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Every</w:t>
      </w:r>
      <w:r w:rsidR="0040047D" w:rsidRPr="007D7FC8">
        <w:rPr>
          <w:rFonts w:ascii="Times New Roman" w:hAnsi="Times New Roman"/>
          <w:lang w:val="en-GB"/>
        </w:rPr>
        <w:t xml:space="preserve"> stock market has its own characteristics determined by </w:t>
      </w:r>
      <w:r w:rsidR="008B2061" w:rsidRPr="007D7FC8">
        <w:rPr>
          <w:rFonts w:ascii="Times New Roman" w:hAnsi="Times New Roman"/>
          <w:lang w:val="en-GB"/>
        </w:rPr>
        <w:t xml:space="preserve">the </w:t>
      </w:r>
      <w:r w:rsidR="0040047D" w:rsidRPr="007D7FC8">
        <w:rPr>
          <w:rFonts w:ascii="Times New Roman" w:hAnsi="Times New Roman"/>
          <w:lang w:val="en-GB"/>
        </w:rPr>
        <w:t xml:space="preserve">legal and economic environment. </w:t>
      </w:r>
      <w:r>
        <w:rPr>
          <w:rFonts w:ascii="Times New Roman" w:hAnsi="Times New Roman"/>
          <w:lang w:val="en-GB"/>
        </w:rPr>
        <w:t>Moreover,</w:t>
      </w:r>
      <w:r w:rsidR="007D7FC8" w:rsidRPr="007D7FC8">
        <w:rPr>
          <w:rFonts w:ascii="Times New Roman" w:hAnsi="Times New Roman"/>
          <w:lang w:val="en-GB"/>
        </w:rPr>
        <w:t xml:space="preserve"> on the stock markets </w:t>
      </w:r>
      <w:r w:rsidR="0085563F">
        <w:rPr>
          <w:rFonts w:ascii="Times New Roman" w:hAnsi="Times New Roman"/>
          <w:lang w:val="en-GB"/>
        </w:rPr>
        <w:t xml:space="preserve">there </w:t>
      </w:r>
      <w:r w:rsidR="007D7FC8" w:rsidRPr="007D7FC8">
        <w:rPr>
          <w:rFonts w:ascii="Times New Roman" w:hAnsi="Times New Roman"/>
          <w:lang w:val="en-GB"/>
        </w:rPr>
        <w:t>are listed companies representing different sectors of the economy</w:t>
      </w:r>
      <w:r w:rsidR="00652D65" w:rsidRPr="007D7FC8">
        <w:rPr>
          <w:rFonts w:ascii="Times New Roman" w:hAnsi="Times New Roman"/>
          <w:lang w:val="en-GB"/>
        </w:rPr>
        <w:t>. Th</w:t>
      </w:r>
      <w:r w:rsidR="0040047D" w:rsidRPr="007D7FC8">
        <w:rPr>
          <w:rFonts w:ascii="Times New Roman" w:hAnsi="Times New Roman"/>
          <w:lang w:val="en-GB"/>
        </w:rPr>
        <w:t xml:space="preserve">is statement </w:t>
      </w:r>
      <w:r w:rsidR="00652D65" w:rsidRPr="007D7FC8">
        <w:rPr>
          <w:rFonts w:ascii="Times New Roman" w:hAnsi="Times New Roman"/>
          <w:lang w:val="en-GB"/>
        </w:rPr>
        <w:t>brings us to the next questio</w:t>
      </w:r>
      <w:r w:rsidR="008B2061" w:rsidRPr="007D7FC8">
        <w:rPr>
          <w:rFonts w:ascii="Times New Roman" w:hAnsi="Times New Roman"/>
          <w:lang w:val="en-GB"/>
        </w:rPr>
        <w:t xml:space="preserve">n whether there are differences </w:t>
      </w:r>
      <w:r w:rsidR="007D7FC8" w:rsidRPr="007D7FC8">
        <w:rPr>
          <w:rFonts w:ascii="Times New Roman" w:hAnsi="Times New Roman"/>
          <w:lang w:val="en-GB"/>
        </w:rPr>
        <w:t xml:space="preserve">concerning dividend smoothing effect </w:t>
      </w:r>
      <w:r w:rsidR="00652D65" w:rsidRPr="007D7FC8">
        <w:rPr>
          <w:rFonts w:ascii="Times New Roman" w:hAnsi="Times New Roman"/>
          <w:lang w:val="en-GB"/>
        </w:rPr>
        <w:t xml:space="preserve">between </w:t>
      </w:r>
      <w:r w:rsidR="00BB01FE" w:rsidRPr="007D7FC8">
        <w:rPr>
          <w:rFonts w:ascii="Times New Roman" w:hAnsi="Times New Roman"/>
          <w:lang w:val="en-GB"/>
        </w:rPr>
        <w:t xml:space="preserve">the </w:t>
      </w:r>
      <w:r w:rsidR="00E31F21">
        <w:rPr>
          <w:rFonts w:ascii="Times New Roman" w:hAnsi="Times New Roman"/>
          <w:lang w:val="en-GB"/>
        </w:rPr>
        <w:t xml:space="preserve">markets and/or </w:t>
      </w:r>
      <w:r w:rsidR="00652D65" w:rsidRPr="007D7FC8">
        <w:rPr>
          <w:rFonts w:ascii="Times New Roman" w:hAnsi="Times New Roman"/>
          <w:lang w:val="en-GB"/>
        </w:rPr>
        <w:t xml:space="preserve">within </w:t>
      </w:r>
      <w:r w:rsidR="00BB01FE" w:rsidRPr="007D7FC8">
        <w:rPr>
          <w:rFonts w:ascii="Times New Roman" w:hAnsi="Times New Roman"/>
          <w:lang w:val="en-GB"/>
        </w:rPr>
        <w:t xml:space="preserve">the </w:t>
      </w:r>
      <w:r w:rsidR="00652D65" w:rsidRPr="007D7FC8">
        <w:rPr>
          <w:rFonts w:ascii="Times New Roman" w:hAnsi="Times New Roman"/>
          <w:lang w:val="en-GB"/>
        </w:rPr>
        <w:t>sectors.</w:t>
      </w:r>
      <w:r w:rsidR="00537DF0" w:rsidRPr="007D7FC8">
        <w:rPr>
          <w:rFonts w:ascii="Times New Roman" w:hAnsi="Times New Roman"/>
          <w:lang w:val="en-GB"/>
        </w:rPr>
        <w:t xml:space="preserve"> </w:t>
      </w:r>
      <w:r w:rsidR="00537DF0" w:rsidRPr="001B5E99">
        <w:rPr>
          <w:rFonts w:ascii="Times New Roman" w:hAnsi="Times New Roman"/>
          <w:lang w:val="en-GB"/>
        </w:rPr>
        <w:t>T</w:t>
      </w:r>
      <w:r w:rsidR="0040047D" w:rsidRPr="001B5E99">
        <w:rPr>
          <w:rFonts w:ascii="Times New Roman" w:hAnsi="Times New Roman"/>
          <w:lang w:val="en-GB"/>
        </w:rPr>
        <w:t xml:space="preserve">wo hypotheses were </w:t>
      </w:r>
      <w:r>
        <w:rPr>
          <w:rFonts w:ascii="Times New Roman" w:hAnsi="Times New Roman"/>
          <w:lang w:val="en-GB"/>
        </w:rPr>
        <w:t xml:space="preserve">formulated </w:t>
      </w:r>
      <w:r w:rsidR="0040047D" w:rsidRPr="001B5E99">
        <w:rPr>
          <w:rFonts w:ascii="Times New Roman" w:hAnsi="Times New Roman"/>
          <w:lang w:val="en-GB"/>
        </w:rPr>
        <w:t xml:space="preserve">to </w:t>
      </w:r>
      <w:r>
        <w:rPr>
          <w:rFonts w:ascii="Times New Roman" w:hAnsi="Times New Roman"/>
          <w:lang w:val="en-GB"/>
        </w:rPr>
        <w:t xml:space="preserve">analyse the dividend smoothing </w:t>
      </w:r>
      <w:r w:rsidR="0040047D" w:rsidRPr="001B5E99">
        <w:rPr>
          <w:rFonts w:ascii="Times New Roman" w:hAnsi="Times New Roman"/>
          <w:lang w:val="en-GB"/>
        </w:rPr>
        <w:t xml:space="preserve">behaviour on </w:t>
      </w:r>
      <w:r w:rsidR="007677B1" w:rsidRPr="001B5E99">
        <w:rPr>
          <w:rFonts w:ascii="Times New Roman" w:hAnsi="Times New Roman"/>
          <w:lang w:val="en-GB"/>
        </w:rPr>
        <w:t xml:space="preserve">the </w:t>
      </w:r>
      <w:r w:rsidR="0040047D" w:rsidRPr="001B5E99">
        <w:rPr>
          <w:rFonts w:ascii="Times New Roman" w:hAnsi="Times New Roman"/>
          <w:lang w:val="en-GB"/>
        </w:rPr>
        <w:t>selected stock markets.</w:t>
      </w:r>
    </w:p>
    <w:p w:rsidR="006D0F93" w:rsidRPr="001B5E99" w:rsidRDefault="00A319AC" w:rsidP="00537DF0">
      <w:pPr>
        <w:pStyle w:val="Bezodstpw"/>
        <w:jc w:val="both"/>
        <w:rPr>
          <w:rFonts w:ascii="Times New Roman" w:hAnsi="Times New Roman"/>
          <w:lang w:val="en-GB"/>
        </w:rPr>
      </w:pPr>
      <w:r w:rsidRPr="001B5E99">
        <w:rPr>
          <w:rFonts w:ascii="Times New Roman" w:hAnsi="Times New Roman"/>
          <w:lang w:val="en-GB"/>
        </w:rPr>
        <w:t>H1: The effect of dividend smoothing was present on the selected Latin American emerging stock markets in the period of 1994-2013.</w:t>
      </w:r>
    </w:p>
    <w:p w:rsidR="006D5E40" w:rsidRPr="001B5E99" w:rsidRDefault="00A319AC" w:rsidP="00537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1B5E99">
        <w:rPr>
          <w:rFonts w:ascii="Times New Roman" w:hAnsi="Times New Roman"/>
          <w:lang w:val="en-GB"/>
        </w:rPr>
        <w:t xml:space="preserve">H2: </w:t>
      </w:r>
      <w:r w:rsidR="006D5E40" w:rsidRPr="001B5E99">
        <w:rPr>
          <w:rFonts w:ascii="Times New Roman" w:hAnsi="Times New Roman"/>
          <w:lang w:val="en-GB"/>
        </w:rPr>
        <w:t xml:space="preserve">The speed of dividend smoothing </w:t>
      </w:r>
      <w:r w:rsidR="0009482F">
        <w:rPr>
          <w:rFonts w:ascii="Times New Roman" w:hAnsi="Times New Roman"/>
          <w:lang w:val="en-GB"/>
        </w:rPr>
        <w:t>varied</w:t>
      </w:r>
      <w:r w:rsidR="001B5E99">
        <w:rPr>
          <w:rFonts w:ascii="Times New Roman" w:hAnsi="Times New Roman"/>
          <w:lang w:val="en-GB"/>
        </w:rPr>
        <w:t xml:space="preserve"> among the sectors of </w:t>
      </w:r>
      <w:r w:rsidR="0009482F">
        <w:rPr>
          <w:rFonts w:ascii="Times New Roman" w:hAnsi="Times New Roman"/>
          <w:lang w:val="en-GB"/>
        </w:rPr>
        <w:t xml:space="preserve">the </w:t>
      </w:r>
      <w:r w:rsidR="001B5E99">
        <w:rPr>
          <w:rFonts w:ascii="Times New Roman" w:hAnsi="Times New Roman"/>
          <w:lang w:val="en-GB"/>
        </w:rPr>
        <w:t>economy</w:t>
      </w:r>
      <w:r w:rsidR="0040047D" w:rsidRPr="001B5E99">
        <w:rPr>
          <w:rFonts w:ascii="Times New Roman" w:hAnsi="Times New Roman"/>
          <w:lang w:val="en-GB"/>
        </w:rPr>
        <w:t>.</w:t>
      </w:r>
      <w:r w:rsidR="006D5E40" w:rsidRPr="001B5E99">
        <w:rPr>
          <w:rFonts w:ascii="Times New Roman" w:hAnsi="Times New Roman"/>
          <w:lang w:val="en-GB"/>
        </w:rPr>
        <w:t xml:space="preserve"> </w:t>
      </w:r>
    </w:p>
    <w:p w:rsidR="006D5E40" w:rsidRPr="007D7FC8" w:rsidRDefault="006D5E40" w:rsidP="00537DF0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:rsidR="00652D65" w:rsidRPr="007D7FC8" w:rsidRDefault="00652D65" w:rsidP="00537DF0">
      <w:pPr>
        <w:spacing w:after="0" w:line="240" w:lineRule="auto"/>
        <w:jc w:val="both"/>
        <w:rPr>
          <w:rFonts w:ascii="Times New Roman" w:hAnsi="Times New Roman"/>
          <w:b/>
          <w:smallCaps/>
          <w:lang w:val="en-GB"/>
        </w:rPr>
      </w:pPr>
      <w:r w:rsidRPr="007D7FC8">
        <w:rPr>
          <w:rFonts w:ascii="Times New Roman" w:hAnsi="Times New Roman"/>
          <w:b/>
          <w:smallCaps/>
          <w:lang w:val="en-GB"/>
        </w:rPr>
        <w:t>Research sample and data</w:t>
      </w:r>
    </w:p>
    <w:p w:rsidR="00652D65" w:rsidRPr="007D7FC8" w:rsidRDefault="00652D65" w:rsidP="0040047D">
      <w:pPr>
        <w:pStyle w:val="Tekstkomentarza"/>
        <w:jc w:val="both"/>
        <w:rPr>
          <w:sz w:val="22"/>
          <w:szCs w:val="22"/>
          <w:lang w:val="en-US"/>
        </w:rPr>
      </w:pPr>
      <w:r w:rsidRPr="007D7FC8">
        <w:rPr>
          <w:sz w:val="22"/>
          <w:szCs w:val="22"/>
          <w:lang w:val="en-US"/>
        </w:rPr>
        <w:t xml:space="preserve">The preliminary sample covered 1297 companies listed on </w:t>
      </w:r>
      <w:r w:rsidRPr="007D7FC8">
        <w:rPr>
          <w:sz w:val="22"/>
          <w:szCs w:val="22"/>
          <w:lang w:val="en-GB"/>
        </w:rPr>
        <w:t xml:space="preserve">five Latin American stock exchanges, namely: BM&amp;FBOVESPA (Brazil), Santiago SE (Chile), Colombia SE (Colombia), Mexican Exchange (Mexico) and Lima SE (Peru). All </w:t>
      </w:r>
      <w:r w:rsidR="007677B1" w:rsidRPr="007D7FC8">
        <w:rPr>
          <w:sz w:val="22"/>
          <w:szCs w:val="22"/>
          <w:lang w:val="en-GB"/>
        </w:rPr>
        <w:t xml:space="preserve">the </w:t>
      </w:r>
      <w:r w:rsidRPr="007D7FC8">
        <w:rPr>
          <w:sz w:val="22"/>
          <w:szCs w:val="22"/>
          <w:lang w:val="en-GB"/>
        </w:rPr>
        <w:t xml:space="preserve">markets selected to the sample are classified as the emerging ones according to the </w:t>
      </w:r>
      <w:r w:rsidRPr="007D7FC8">
        <w:rPr>
          <w:sz w:val="22"/>
          <w:szCs w:val="22"/>
          <w:lang w:val="en-US"/>
        </w:rPr>
        <w:t xml:space="preserve">MSCI Market Classification Framework and are included in the MSCI Emerging Market Index. </w:t>
      </w:r>
      <w:r w:rsidR="0040047D" w:rsidRPr="007D7FC8">
        <w:rPr>
          <w:sz w:val="22"/>
          <w:szCs w:val="22"/>
          <w:lang w:val="en-US"/>
        </w:rPr>
        <w:t xml:space="preserve">The history of </w:t>
      </w:r>
      <w:r w:rsidR="007677B1" w:rsidRPr="007D7FC8">
        <w:rPr>
          <w:sz w:val="22"/>
          <w:szCs w:val="22"/>
          <w:lang w:val="en-US"/>
        </w:rPr>
        <w:t xml:space="preserve">the </w:t>
      </w:r>
      <w:r w:rsidR="0040047D" w:rsidRPr="007D7FC8">
        <w:rPr>
          <w:sz w:val="22"/>
          <w:szCs w:val="22"/>
          <w:lang w:val="en-US"/>
        </w:rPr>
        <w:t xml:space="preserve">selected companies’ dividend payouts was collected </w:t>
      </w:r>
      <w:r w:rsidR="0040047D" w:rsidRPr="007D7FC8">
        <w:rPr>
          <w:sz w:val="22"/>
          <w:szCs w:val="22"/>
          <w:lang w:val="en-GB"/>
        </w:rPr>
        <w:t xml:space="preserve">from </w:t>
      </w:r>
      <w:r w:rsidR="0040047D" w:rsidRPr="007D7FC8">
        <w:rPr>
          <w:sz w:val="22"/>
          <w:szCs w:val="22"/>
          <w:lang w:val="en-GB"/>
        </w:rPr>
        <w:lastRenderedPageBreak/>
        <w:t xml:space="preserve">the Thomson Reuters </w:t>
      </w:r>
      <w:proofErr w:type="spellStart"/>
      <w:r w:rsidR="0040047D" w:rsidRPr="007D7FC8">
        <w:rPr>
          <w:sz w:val="22"/>
          <w:szCs w:val="22"/>
          <w:lang w:val="en-GB"/>
        </w:rPr>
        <w:t>Eikon</w:t>
      </w:r>
      <w:proofErr w:type="spellEnd"/>
      <w:r w:rsidR="0040047D" w:rsidRPr="007D7FC8">
        <w:rPr>
          <w:sz w:val="22"/>
          <w:szCs w:val="22"/>
          <w:lang w:val="en-GB"/>
        </w:rPr>
        <w:t xml:space="preserve"> 4. This database includes all publicly traded companies on the world’s stock markets. </w:t>
      </w:r>
      <w:r w:rsidR="001D2026" w:rsidRPr="007D7FC8">
        <w:rPr>
          <w:sz w:val="22"/>
          <w:szCs w:val="22"/>
          <w:lang w:val="en-US"/>
        </w:rPr>
        <w:t xml:space="preserve">Data was collected </w:t>
      </w:r>
      <w:r w:rsidR="001D2026" w:rsidRPr="007D7FC8">
        <w:rPr>
          <w:sz w:val="22"/>
          <w:szCs w:val="22"/>
          <w:lang w:val="en-GB"/>
        </w:rPr>
        <w:t>under a special agreement between the University of Gdansk and the Thomson Reuters company.</w:t>
      </w:r>
      <w:r w:rsidR="001D2026" w:rsidRPr="007D7FC8">
        <w:rPr>
          <w:sz w:val="22"/>
          <w:szCs w:val="22"/>
          <w:lang w:val="en-US"/>
        </w:rPr>
        <w:t xml:space="preserve"> </w:t>
      </w:r>
      <w:r w:rsidRPr="007D7FC8">
        <w:rPr>
          <w:sz w:val="22"/>
          <w:szCs w:val="22"/>
          <w:lang w:val="en-US"/>
        </w:rPr>
        <w:t>The exact data samples from each stock markets and the filtering rules are presented in the table 1.</w:t>
      </w:r>
    </w:p>
    <w:p w:rsidR="00652D65" w:rsidRPr="007D7FC8" w:rsidRDefault="00652D65" w:rsidP="00652D65">
      <w:pPr>
        <w:pStyle w:val="TekstpodstwcityUE"/>
        <w:rPr>
          <w:lang w:val="en-US"/>
        </w:rPr>
      </w:pPr>
      <w:r w:rsidRPr="007D7FC8">
        <w:rPr>
          <w:b/>
          <w:lang w:val="en-US"/>
        </w:rPr>
        <w:t xml:space="preserve">Table </w:t>
      </w:r>
      <w:r w:rsidR="00DD1487" w:rsidRPr="007D7FC8">
        <w:rPr>
          <w:b/>
        </w:rPr>
        <w:fldChar w:fldCharType="begin"/>
      </w:r>
      <w:r w:rsidRPr="007D7FC8">
        <w:rPr>
          <w:b/>
          <w:lang w:val="en-US"/>
        </w:rPr>
        <w:instrText xml:space="preserve"> SEQ Tabela \* ARABIC </w:instrText>
      </w:r>
      <w:r w:rsidR="00DD1487" w:rsidRPr="007D7FC8">
        <w:rPr>
          <w:b/>
        </w:rPr>
        <w:fldChar w:fldCharType="separate"/>
      </w:r>
      <w:r w:rsidRPr="007D7FC8">
        <w:rPr>
          <w:b/>
          <w:noProof/>
          <w:lang w:val="en-US"/>
        </w:rPr>
        <w:t>1</w:t>
      </w:r>
      <w:r w:rsidR="00DD1487" w:rsidRPr="007D7FC8">
        <w:rPr>
          <w:b/>
        </w:rPr>
        <w:fldChar w:fldCharType="end"/>
      </w:r>
      <w:r w:rsidRPr="007D7FC8">
        <w:rPr>
          <w:b/>
          <w:lang w:val="en-US"/>
        </w:rPr>
        <w:t>.</w:t>
      </w:r>
      <w:r w:rsidRPr="007D7FC8">
        <w:rPr>
          <w:lang w:val="en-US"/>
        </w:rPr>
        <w:t xml:space="preserve"> </w:t>
      </w:r>
      <w:r w:rsidRPr="007D7FC8">
        <w:rPr>
          <w:spacing w:val="0"/>
          <w:lang w:val="en-US"/>
        </w:rPr>
        <w:t>Preliminary sample sizes and after filtering</w:t>
      </w:r>
    </w:p>
    <w:tbl>
      <w:tblPr>
        <w:tblW w:w="0" w:type="auto"/>
        <w:jc w:val="center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866"/>
        <w:gridCol w:w="1985"/>
        <w:gridCol w:w="1843"/>
        <w:gridCol w:w="1071"/>
        <w:gridCol w:w="956"/>
      </w:tblGrid>
      <w:tr w:rsidR="00652D65" w:rsidRPr="007D7FC8" w:rsidTr="00BB01FE">
        <w:trPr>
          <w:trHeight w:val="312"/>
          <w:jc w:val="center"/>
        </w:trPr>
        <w:tc>
          <w:tcPr>
            <w:tcW w:w="1259" w:type="dxa"/>
            <w:vMerge w:val="restart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Country </w:t>
            </w:r>
          </w:p>
        </w:tc>
        <w:tc>
          <w:tcPr>
            <w:tcW w:w="6721" w:type="dxa"/>
            <w:gridSpan w:val="5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Sample size </w:t>
            </w:r>
          </w:p>
        </w:tc>
      </w:tr>
      <w:tr w:rsidR="00652D65" w:rsidRPr="007D7FC8" w:rsidTr="00BB01FE">
        <w:trPr>
          <w:trHeight w:val="312"/>
          <w:jc w:val="center"/>
        </w:trPr>
        <w:tc>
          <w:tcPr>
            <w:tcW w:w="1259" w:type="dxa"/>
            <w:vMerge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initial</w:t>
            </w:r>
            <w:proofErr w:type="spellEnd"/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only ordinary dividend payouts for at least 6 consecutive years; no financial sector*</w:t>
            </w:r>
          </w:p>
        </w:tc>
        <w:tc>
          <w:tcPr>
            <w:tcW w:w="1843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only regular dividend payout policy; </w:t>
            </w:r>
          </w:p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no missing financial data  </w:t>
            </w:r>
          </w:p>
        </w:tc>
        <w:tc>
          <w:tcPr>
            <w:tcW w:w="1071" w:type="dxa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SOA statistically significant</w:t>
            </w:r>
          </w:p>
        </w:tc>
        <w:tc>
          <w:tcPr>
            <w:tcW w:w="956" w:type="dxa"/>
          </w:tcPr>
          <w:p w:rsidR="00652D65" w:rsidRPr="007D7FC8" w:rsidRDefault="00652D65" w:rsidP="0098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after </w:t>
            </w:r>
            <w:r w:rsidR="00BB01FE"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removing </w:t>
            </w: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outliers</w:t>
            </w:r>
          </w:p>
        </w:tc>
      </w:tr>
      <w:tr w:rsidR="00652D65" w:rsidRPr="007D7FC8" w:rsidTr="00BB01FE">
        <w:trPr>
          <w:trHeight w:val="312"/>
          <w:jc w:val="center"/>
        </w:trPr>
        <w:tc>
          <w:tcPr>
            <w:tcW w:w="1259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Brazil</w:t>
            </w:r>
          </w:p>
        </w:tc>
        <w:tc>
          <w:tcPr>
            <w:tcW w:w="866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429</w:t>
            </w:r>
          </w:p>
        </w:tc>
        <w:tc>
          <w:tcPr>
            <w:tcW w:w="1985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140</w:t>
            </w:r>
          </w:p>
        </w:tc>
        <w:tc>
          <w:tcPr>
            <w:tcW w:w="1843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112</w:t>
            </w:r>
          </w:p>
        </w:tc>
        <w:tc>
          <w:tcPr>
            <w:tcW w:w="1071" w:type="dxa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72</w:t>
            </w:r>
          </w:p>
        </w:tc>
        <w:tc>
          <w:tcPr>
            <w:tcW w:w="956" w:type="dxa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70</w:t>
            </w:r>
          </w:p>
        </w:tc>
      </w:tr>
      <w:tr w:rsidR="00652D65" w:rsidRPr="007D7FC8" w:rsidTr="00BB01FE">
        <w:trPr>
          <w:trHeight w:val="312"/>
          <w:jc w:val="center"/>
        </w:trPr>
        <w:tc>
          <w:tcPr>
            <w:tcW w:w="1259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Chile </w:t>
            </w:r>
          </w:p>
        </w:tc>
        <w:tc>
          <w:tcPr>
            <w:tcW w:w="866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253</w:t>
            </w:r>
          </w:p>
        </w:tc>
        <w:tc>
          <w:tcPr>
            <w:tcW w:w="1985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96</w:t>
            </w:r>
          </w:p>
        </w:tc>
        <w:tc>
          <w:tcPr>
            <w:tcW w:w="1843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96</w:t>
            </w:r>
          </w:p>
        </w:tc>
        <w:tc>
          <w:tcPr>
            <w:tcW w:w="1071" w:type="dxa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41</w:t>
            </w:r>
          </w:p>
        </w:tc>
        <w:tc>
          <w:tcPr>
            <w:tcW w:w="956" w:type="dxa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41</w:t>
            </w:r>
          </w:p>
        </w:tc>
      </w:tr>
      <w:tr w:rsidR="00652D65" w:rsidRPr="007D7FC8" w:rsidTr="00BB01FE">
        <w:trPr>
          <w:trHeight w:val="312"/>
          <w:jc w:val="center"/>
        </w:trPr>
        <w:tc>
          <w:tcPr>
            <w:tcW w:w="1259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Colombia</w:t>
            </w:r>
          </w:p>
        </w:tc>
        <w:tc>
          <w:tcPr>
            <w:tcW w:w="866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144</w:t>
            </w:r>
          </w:p>
        </w:tc>
        <w:tc>
          <w:tcPr>
            <w:tcW w:w="1985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28</w:t>
            </w:r>
          </w:p>
        </w:tc>
        <w:tc>
          <w:tcPr>
            <w:tcW w:w="1843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28</w:t>
            </w:r>
          </w:p>
        </w:tc>
        <w:tc>
          <w:tcPr>
            <w:tcW w:w="1071" w:type="dxa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5</w:t>
            </w:r>
          </w:p>
        </w:tc>
        <w:tc>
          <w:tcPr>
            <w:tcW w:w="956" w:type="dxa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5</w:t>
            </w:r>
          </w:p>
        </w:tc>
      </w:tr>
      <w:tr w:rsidR="00652D65" w:rsidRPr="007D7FC8" w:rsidTr="00BB01FE">
        <w:trPr>
          <w:trHeight w:val="312"/>
          <w:jc w:val="center"/>
        </w:trPr>
        <w:tc>
          <w:tcPr>
            <w:tcW w:w="1259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Mexico</w:t>
            </w:r>
          </w:p>
        </w:tc>
        <w:tc>
          <w:tcPr>
            <w:tcW w:w="866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195</w:t>
            </w:r>
          </w:p>
        </w:tc>
        <w:tc>
          <w:tcPr>
            <w:tcW w:w="1985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41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25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25</w:t>
            </w:r>
          </w:p>
        </w:tc>
      </w:tr>
      <w:tr w:rsidR="00652D65" w:rsidRPr="007D7FC8" w:rsidTr="00BB01FE">
        <w:trPr>
          <w:trHeight w:val="312"/>
          <w:jc w:val="center"/>
        </w:trPr>
        <w:tc>
          <w:tcPr>
            <w:tcW w:w="1259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Peru</w:t>
            </w:r>
          </w:p>
        </w:tc>
        <w:tc>
          <w:tcPr>
            <w:tcW w:w="866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276</w:t>
            </w:r>
          </w:p>
        </w:tc>
        <w:tc>
          <w:tcPr>
            <w:tcW w:w="1985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43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21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21</w:t>
            </w:r>
          </w:p>
        </w:tc>
      </w:tr>
      <w:tr w:rsidR="00652D65" w:rsidRPr="007D7FC8" w:rsidTr="00BB01FE">
        <w:trPr>
          <w:trHeight w:val="312"/>
          <w:jc w:val="center"/>
        </w:trPr>
        <w:tc>
          <w:tcPr>
            <w:tcW w:w="1259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Whole </w:t>
            </w:r>
          </w:p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sample</w:t>
            </w:r>
          </w:p>
        </w:tc>
        <w:tc>
          <w:tcPr>
            <w:tcW w:w="866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1297</w:t>
            </w:r>
          </w:p>
        </w:tc>
        <w:tc>
          <w:tcPr>
            <w:tcW w:w="1985" w:type="dxa"/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356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320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164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652D65" w:rsidRPr="007D7FC8" w:rsidRDefault="00652D65" w:rsidP="00423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</w:pPr>
            <w:r w:rsidRPr="007D7F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de-DE"/>
              </w:rPr>
              <w:t>162</w:t>
            </w:r>
          </w:p>
        </w:tc>
      </w:tr>
    </w:tbl>
    <w:p w:rsidR="00652D65" w:rsidRPr="007D7FC8" w:rsidRDefault="00652D65" w:rsidP="00652D65">
      <w:pPr>
        <w:pStyle w:val="TekstpodstwcityUE"/>
        <w:rPr>
          <w:lang w:val="en-US"/>
        </w:rPr>
      </w:pPr>
      <w:r w:rsidRPr="007D7FC8">
        <w:rPr>
          <w:rFonts w:eastAsia="Times New Roman"/>
          <w:bCs/>
          <w:iCs/>
          <w:sz w:val="18"/>
          <w:lang w:val="en-US"/>
        </w:rPr>
        <w:t>* Financial and insurance companies.</w:t>
      </w:r>
    </w:p>
    <w:p w:rsidR="00A319AC" w:rsidRPr="007D7FC8" w:rsidRDefault="00A319AC" w:rsidP="009A72E8">
      <w:pPr>
        <w:pStyle w:val="Bezodstpw"/>
        <w:jc w:val="both"/>
        <w:rPr>
          <w:rFonts w:ascii="Times New Roman" w:hAnsi="Times New Roman"/>
          <w:lang w:val="en-GB"/>
        </w:rPr>
      </w:pPr>
    </w:p>
    <w:p w:rsidR="001D2026" w:rsidRPr="007D7FC8" w:rsidRDefault="001D2026" w:rsidP="008A3AAF">
      <w:pPr>
        <w:spacing w:after="0" w:line="240" w:lineRule="auto"/>
        <w:jc w:val="both"/>
        <w:rPr>
          <w:rFonts w:ascii="Times New Roman" w:hAnsi="Times New Roman"/>
          <w:b/>
          <w:smallCaps/>
          <w:lang w:val="en-GB"/>
        </w:rPr>
      </w:pPr>
      <w:r w:rsidRPr="007D7FC8">
        <w:rPr>
          <w:rFonts w:ascii="Times New Roman" w:hAnsi="Times New Roman"/>
          <w:b/>
          <w:smallCaps/>
          <w:lang w:val="en-GB"/>
        </w:rPr>
        <w:t>Methodology</w:t>
      </w:r>
    </w:p>
    <w:p w:rsidR="001D2026" w:rsidRPr="007D7FC8" w:rsidRDefault="006266ED" w:rsidP="008A3AAF">
      <w:pPr>
        <w:spacing w:after="0" w:line="240" w:lineRule="auto"/>
        <w:jc w:val="both"/>
        <w:rPr>
          <w:rFonts w:ascii="Times New Roman" w:hAnsi="Times New Roman"/>
          <w:lang w:val="en-GB"/>
        </w:rPr>
      </w:pPr>
      <w:r w:rsidRPr="007D7FC8">
        <w:rPr>
          <w:rFonts w:ascii="Times New Roman" w:hAnsi="Times New Roman"/>
          <w:lang w:val="en-GB"/>
        </w:rPr>
        <w:t xml:space="preserve">Preliminary model specification, coming from </w:t>
      </w:r>
      <w:proofErr w:type="spellStart"/>
      <w:r w:rsidRPr="007D7FC8">
        <w:rPr>
          <w:rFonts w:ascii="Times New Roman" w:hAnsi="Times New Roman"/>
          <w:lang w:val="en-GB"/>
        </w:rPr>
        <w:t>Lintner</w:t>
      </w:r>
      <w:proofErr w:type="spellEnd"/>
      <w:r w:rsidRPr="007D7FC8">
        <w:rPr>
          <w:rFonts w:ascii="Times New Roman" w:hAnsi="Times New Roman"/>
          <w:lang w:val="en-GB"/>
        </w:rPr>
        <w:t xml:space="preserve"> </w:t>
      </w:r>
      <w:r w:rsidR="00BB01FE" w:rsidRPr="007D7FC8">
        <w:rPr>
          <w:rFonts w:ascii="Times New Roman" w:hAnsi="Times New Roman"/>
          <w:lang w:val="en-GB"/>
        </w:rPr>
        <w:t>(1956), can be noted as follows:</w:t>
      </w:r>
    </w:p>
    <w:p w:rsidR="001D2026" w:rsidRPr="007D7FC8" w:rsidRDefault="001D2026" w:rsidP="008A3AAF">
      <w:pPr>
        <w:pStyle w:val="Bezodstpw"/>
        <w:ind w:left="1418" w:firstLine="709"/>
        <w:jc w:val="center"/>
        <w:rPr>
          <w:rFonts w:ascii="Times New Roman" w:hAnsi="Times New Roman"/>
        </w:rPr>
      </w:pPr>
      <w:r w:rsidRPr="007D7FC8">
        <w:rPr>
          <w:rFonts w:ascii="Times New Roman" w:hAnsi="Times New Roman"/>
          <w:position w:val="-12"/>
          <w:lang w:val="pl-PL"/>
        </w:rPr>
        <w:object w:dxaOrig="2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7pt;height:18.25pt" o:ole="">
            <v:imagedata r:id="rId9" o:title=""/>
          </v:shape>
          <o:OLEObject Type="Embed" ProgID="Equation.3" ShapeID="_x0000_i1025" DrawAspect="Content" ObjectID="_1537343768" r:id="rId10"/>
        </w:object>
      </w:r>
      <w:r w:rsidRPr="007D7FC8">
        <w:rPr>
          <w:rFonts w:ascii="Times New Roman" w:hAnsi="Times New Roman"/>
        </w:rPr>
        <w:tab/>
        <w:t>,</w:t>
      </w:r>
      <w:r w:rsidRPr="007D7FC8">
        <w:rPr>
          <w:rFonts w:ascii="Times New Roman" w:hAnsi="Times New Roman"/>
        </w:rPr>
        <w:tab/>
      </w:r>
      <w:r w:rsidRPr="007D7FC8">
        <w:rPr>
          <w:rFonts w:ascii="Times New Roman" w:hAnsi="Times New Roman"/>
        </w:rPr>
        <w:tab/>
      </w:r>
      <w:r w:rsidRPr="007D7FC8">
        <w:rPr>
          <w:rFonts w:ascii="Times New Roman" w:hAnsi="Times New Roman"/>
        </w:rPr>
        <w:tab/>
        <w:t>(1)</w:t>
      </w:r>
    </w:p>
    <w:p w:rsidR="001D2026" w:rsidRPr="007D7FC8" w:rsidRDefault="001D2026" w:rsidP="008A3AAF">
      <w:pPr>
        <w:pStyle w:val="Bezodstpw"/>
        <w:jc w:val="both"/>
        <w:rPr>
          <w:rFonts w:ascii="Times New Roman" w:hAnsi="Times New Roman"/>
        </w:rPr>
      </w:pPr>
      <w:r w:rsidRPr="007D7FC8">
        <w:rPr>
          <w:rFonts w:ascii="Times New Roman" w:hAnsi="Times New Roman"/>
        </w:rPr>
        <w:t xml:space="preserve">where </w:t>
      </w:r>
      <w:r w:rsidRPr="007D7FC8">
        <w:rPr>
          <w:rFonts w:ascii="Times New Roman" w:hAnsi="Times New Roman"/>
          <w:position w:val="-10"/>
        </w:rPr>
        <w:object w:dxaOrig="1080" w:dyaOrig="340">
          <v:shape id="_x0000_i1026" type="#_x0000_t75" style="width:54.8pt;height:17.2pt" o:ole="">
            <v:imagedata r:id="rId11" o:title=""/>
          </v:shape>
          <o:OLEObject Type="Embed" ProgID="Equation.3" ShapeID="_x0000_i1026" DrawAspect="Content" ObjectID="_1537343769" r:id="rId12"/>
        </w:object>
      </w:r>
      <w:r w:rsidRPr="007D7FC8">
        <w:rPr>
          <w:rFonts w:ascii="Times New Roman" w:hAnsi="Times New Roman"/>
        </w:rPr>
        <w:t xml:space="preserve">, </w:t>
      </w:r>
      <w:r w:rsidRPr="007D7FC8">
        <w:rPr>
          <w:rFonts w:ascii="Times New Roman" w:hAnsi="Times New Roman"/>
          <w:position w:val="-10"/>
        </w:rPr>
        <w:object w:dxaOrig="340" w:dyaOrig="320">
          <v:shape id="_x0000_i1027" type="#_x0000_t75" style="width:17.2pt;height:16.65pt" o:ole="">
            <v:imagedata r:id="rId13" o:title=""/>
          </v:shape>
          <o:OLEObject Type="Embed" ProgID="Equation.3" ShapeID="_x0000_i1027" DrawAspect="Content" ObjectID="_1537343770" r:id="rId14"/>
        </w:object>
      </w:r>
      <w:r w:rsidRPr="007D7FC8">
        <w:rPr>
          <w:rFonts w:ascii="Times New Roman" w:hAnsi="Times New Roman"/>
        </w:rPr>
        <w:t xml:space="preserve"> – target dividend payout ratio for firm </w:t>
      </w:r>
      <w:proofErr w:type="spellStart"/>
      <w:r w:rsidRPr="007D7FC8">
        <w:rPr>
          <w:rFonts w:ascii="Times New Roman" w:hAnsi="Times New Roman"/>
          <w:i/>
        </w:rPr>
        <w:t>i</w:t>
      </w:r>
      <w:proofErr w:type="spellEnd"/>
      <w:r w:rsidRPr="007D7FC8">
        <w:rPr>
          <w:rFonts w:ascii="Times New Roman" w:hAnsi="Times New Roman"/>
        </w:rPr>
        <w:t xml:space="preserve">, </w:t>
      </w:r>
      <w:r w:rsidRPr="007D7FC8">
        <w:rPr>
          <w:rFonts w:ascii="Times New Roman" w:hAnsi="Times New Roman"/>
          <w:position w:val="-10"/>
        </w:rPr>
        <w:object w:dxaOrig="300" w:dyaOrig="320">
          <v:shape id="_x0000_i1028" type="#_x0000_t75" style="width:15.6pt;height:16.65pt" o:ole="">
            <v:imagedata r:id="rId15" o:title=""/>
          </v:shape>
          <o:OLEObject Type="Embed" ProgID="Equation.3" ShapeID="_x0000_i1028" DrawAspect="Content" ObjectID="_1537343771" r:id="rId16"/>
        </w:object>
      </w:r>
      <w:r w:rsidRPr="007D7FC8">
        <w:rPr>
          <w:rFonts w:ascii="Times New Roman" w:hAnsi="Times New Roman"/>
        </w:rPr>
        <w:t xml:space="preserve"> – current year’s profits </w:t>
      </w:r>
      <w:r w:rsidR="00DA0F9E">
        <w:rPr>
          <w:rFonts w:ascii="Times New Roman" w:hAnsi="Times New Roman"/>
        </w:rPr>
        <w:t xml:space="preserve">(earnings </w:t>
      </w:r>
      <w:r w:rsidRPr="007D7FC8">
        <w:rPr>
          <w:rFonts w:ascii="Times New Roman" w:hAnsi="Times New Roman"/>
        </w:rPr>
        <w:t>after taxes</w:t>
      </w:r>
      <w:r w:rsidR="00DA0F9E">
        <w:rPr>
          <w:rFonts w:ascii="Times New Roman" w:hAnsi="Times New Roman"/>
        </w:rPr>
        <w:t>)</w:t>
      </w:r>
      <w:r w:rsidRPr="007D7FC8">
        <w:rPr>
          <w:rFonts w:ascii="Times New Roman" w:hAnsi="Times New Roman"/>
        </w:rPr>
        <w:t xml:space="preserve">, </w:t>
      </w:r>
      <w:r w:rsidRPr="007D7FC8">
        <w:rPr>
          <w:rFonts w:ascii="Times New Roman" w:hAnsi="Times New Roman"/>
          <w:position w:val="-10"/>
        </w:rPr>
        <w:object w:dxaOrig="320" w:dyaOrig="340">
          <v:shape id="_x0000_i1029" type="#_x0000_t75" style="width:15.6pt;height:17.2pt" o:ole="">
            <v:imagedata r:id="rId17" o:title=""/>
          </v:shape>
          <o:OLEObject Type="Embed" ProgID="Equation.3" ShapeID="_x0000_i1029" DrawAspect="Content" ObjectID="_1537343772" r:id="rId18"/>
        </w:object>
      </w:r>
      <w:r w:rsidRPr="007D7FC8">
        <w:rPr>
          <w:rFonts w:ascii="Times New Roman" w:hAnsi="Times New Roman"/>
        </w:rPr>
        <w:t xml:space="preserve"> – dividends which the company would have paid in the current year if its dividend</w:t>
      </w:r>
      <w:r w:rsidR="00DA0F9E">
        <w:rPr>
          <w:rFonts w:ascii="Times New Roman" w:hAnsi="Times New Roman"/>
        </w:rPr>
        <w:t>s</w:t>
      </w:r>
      <w:r w:rsidRPr="007D7FC8">
        <w:rPr>
          <w:rFonts w:ascii="Times New Roman" w:hAnsi="Times New Roman"/>
        </w:rPr>
        <w:t xml:space="preserve"> were based simply on </w:t>
      </w:r>
      <w:r w:rsidR="00715CA0">
        <w:rPr>
          <w:rFonts w:ascii="Times New Roman" w:hAnsi="Times New Roman"/>
        </w:rPr>
        <w:t>the</w:t>
      </w:r>
      <w:r w:rsidRPr="007D7FC8">
        <w:rPr>
          <w:rFonts w:ascii="Times New Roman" w:hAnsi="Times New Roman"/>
        </w:rPr>
        <w:t xml:space="preserve"> fixed target payout ratio </w:t>
      </w:r>
      <w:r w:rsidRPr="007D7FC8">
        <w:rPr>
          <w:rFonts w:ascii="Times New Roman" w:hAnsi="Times New Roman"/>
          <w:position w:val="-10"/>
        </w:rPr>
        <w:object w:dxaOrig="340" w:dyaOrig="320">
          <v:shape id="_x0000_i1030" type="#_x0000_t75" style="width:17.2pt;height:16.65pt" o:ole="">
            <v:imagedata r:id="rId19" o:title=""/>
          </v:shape>
          <o:OLEObject Type="Embed" ProgID="Equation.3" ShapeID="_x0000_i1030" DrawAspect="Content" ObjectID="_1537343773" r:id="rId20"/>
        </w:object>
      </w:r>
      <w:r w:rsidRPr="007D7FC8">
        <w:rPr>
          <w:rFonts w:ascii="Times New Roman" w:hAnsi="Times New Roman"/>
        </w:rPr>
        <w:t xml:space="preserve">, </w:t>
      </w:r>
      <w:r w:rsidRPr="007D7FC8">
        <w:rPr>
          <w:rFonts w:ascii="Times New Roman" w:hAnsi="Times New Roman"/>
          <w:position w:val="-10"/>
        </w:rPr>
        <w:object w:dxaOrig="440" w:dyaOrig="320">
          <v:shape id="_x0000_i1031" type="#_x0000_t75" style="width:21.5pt;height:16.65pt" o:ole="">
            <v:imagedata r:id="rId21" o:title=""/>
          </v:shape>
          <o:OLEObject Type="Embed" ProgID="Equation.3" ShapeID="_x0000_i1031" DrawAspect="Content" ObjectID="_1537343774" r:id="rId22"/>
        </w:object>
      </w:r>
      <w:r w:rsidRPr="007D7FC8">
        <w:rPr>
          <w:rFonts w:ascii="Times New Roman" w:hAnsi="Times New Roman"/>
        </w:rPr>
        <w:t xml:space="preserve"> – change in dividend payments, </w:t>
      </w:r>
      <w:r w:rsidRPr="007D7FC8">
        <w:rPr>
          <w:rFonts w:ascii="Times New Roman" w:hAnsi="Times New Roman"/>
          <w:position w:val="-12"/>
        </w:rPr>
        <w:object w:dxaOrig="1579" w:dyaOrig="340">
          <v:shape id="_x0000_i1032" type="#_x0000_t75" style="width:79.5pt;height:17.2pt" o:ole="">
            <v:imagedata r:id="rId23" o:title=""/>
          </v:shape>
          <o:OLEObject Type="Embed" ProgID="Equation.3" ShapeID="_x0000_i1032" DrawAspect="Content" ObjectID="_1537343775" r:id="rId24"/>
        </w:object>
      </w:r>
      <w:r w:rsidRPr="007D7FC8">
        <w:rPr>
          <w:rFonts w:ascii="Times New Roman" w:hAnsi="Times New Roman"/>
        </w:rPr>
        <w:t xml:space="preserve">, </w:t>
      </w:r>
      <w:r w:rsidRPr="007D7FC8">
        <w:rPr>
          <w:rFonts w:ascii="Times New Roman" w:hAnsi="Times New Roman"/>
          <w:position w:val="-10"/>
        </w:rPr>
        <w:object w:dxaOrig="320" w:dyaOrig="320">
          <v:shape id="_x0000_i1033" type="#_x0000_t75" style="width:15.6pt;height:16.65pt" o:ole="">
            <v:imagedata r:id="rId25" o:title=""/>
          </v:shape>
          <o:OLEObject Type="Embed" ProgID="Equation.3" ShapeID="_x0000_i1033" DrawAspect="Content" ObjectID="_1537343776" r:id="rId26"/>
        </w:object>
      </w:r>
      <w:r w:rsidRPr="007D7FC8">
        <w:rPr>
          <w:rFonts w:ascii="Times New Roman" w:hAnsi="Times New Roman"/>
        </w:rPr>
        <w:t xml:space="preserve"> (</w:t>
      </w:r>
      <w:r w:rsidRPr="007D7FC8">
        <w:rPr>
          <w:rFonts w:ascii="Times New Roman" w:hAnsi="Times New Roman"/>
          <w:position w:val="-12"/>
        </w:rPr>
        <w:object w:dxaOrig="480" w:dyaOrig="340">
          <v:shape id="_x0000_i1034" type="#_x0000_t75" style="width:24.7pt;height:17.2pt" o:ole="">
            <v:imagedata r:id="rId27" o:title=""/>
          </v:shape>
          <o:OLEObject Type="Embed" ProgID="Equation.3" ShapeID="_x0000_i1034" DrawAspect="Content" ObjectID="_1537343777" r:id="rId28"/>
        </w:object>
      </w:r>
      <w:r w:rsidRPr="007D7FC8">
        <w:rPr>
          <w:rFonts w:ascii="Times New Roman" w:hAnsi="Times New Roman"/>
        </w:rPr>
        <w:t xml:space="preserve">) – amount of dividend paid in year </w:t>
      </w:r>
      <w:r w:rsidRPr="007D7FC8">
        <w:rPr>
          <w:rFonts w:ascii="Times New Roman" w:hAnsi="Times New Roman"/>
          <w:i/>
        </w:rPr>
        <w:t>t</w:t>
      </w:r>
      <w:r w:rsidRPr="007D7FC8">
        <w:rPr>
          <w:rFonts w:ascii="Times New Roman" w:hAnsi="Times New Roman"/>
        </w:rPr>
        <w:t xml:space="preserve"> (</w:t>
      </w:r>
      <w:r w:rsidRPr="007D7FC8">
        <w:rPr>
          <w:rFonts w:ascii="Times New Roman" w:hAnsi="Times New Roman"/>
          <w:i/>
        </w:rPr>
        <w:t>t-1</w:t>
      </w:r>
      <w:r w:rsidRPr="007D7FC8">
        <w:rPr>
          <w:rFonts w:ascii="Times New Roman" w:hAnsi="Times New Roman"/>
        </w:rPr>
        <w:t xml:space="preserve">), </w:t>
      </w:r>
      <w:r w:rsidRPr="007D7FC8">
        <w:rPr>
          <w:position w:val="-10"/>
        </w:rPr>
        <w:object w:dxaOrig="260" w:dyaOrig="320">
          <v:shape id="_x0000_i1035" type="#_x0000_t75" style="width:13.45pt;height:16.65pt" o:ole="">
            <v:imagedata r:id="rId29" o:title=""/>
          </v:shape>
          <o:OLEObject Type="Embed" ProgID="Equation.3" ShapeID="_x0000_i1035" DrawAspect="Content" ObjectID="_1537343778" r:id="rId30"/>
        </w:object>
      </w:r>
      <w:r w:rsidRPr="007D7FC8">
        <w:t xml:space="preserve">, </w:t>
      </w:r>
      <w:r w:rsidRPr="007D7FC8">
        <w:rPr>
          <w:position w:val="-10"/>
        </w:rPr>
        <w:object w:dxaOrig="240" w:dyaOrig="320">
          <v:shape id="_x0000_i1036" type="#_x0000_t75" style="width:11.8pt;height:16.65pt" o:ole="">
            <v:imagedata r:id="rId31" o:title=""/>
          </v:shape>
          <o:OLEObject Type="Embed" ProgID="Equation.3" ShapeID="_x0000_i1036" DrawAspect="Content" ObjectID="_1537343779" r:id="rId32"/>
        </w:object>
      </w:r>
      <w:r w:rsidRPr="007D7FC8">
        <w:t xml:space="preserve"> </w:t>
      </w:r>
      <w:r w:rsidRPr="007D7FC8">
        <w:rPr>
          <w:rFonts w:ascii="Times New Roman" w:hAnsi="Times New Roman"/>
        </w:rPr>
        <w:t xml:space="preserve">– structural parameters, </w:t>
      </w:r>
      <w:r w:rsidRPr="007D7FC8">
        <w:rPr>
          <w:rFonts w:ascii="Times New Roman" w:hAnsi="Times New Roman"/>
          <w:position w:val="-12"/>
        </w:rPr>
        <w:object w:dxaOrig="279" w:dyaOrig="360">
          <v:shape id="_x0000_i1037" type="#_x0000_t75" style="width:12.9pt;height:18.25pt" o:ole="">
            <v:imagedata r:id="rId33" o:title=""/>
          </v:shape>
          <o:OLEObject Type="Embed" ProgID="Equation.3" ShapeID="_x0000_i1037" DrawAspect="Content" ObjectID="_1537343780" r:id="rId34"/>
        </w:object>
      </w:r>
      <w:r w:rsidRPr="007D7FC8">
        <w:rPr>
          <w:rFonts w:ascii="Times New Roman" w:hAnsi="Times New Roman"/>
        </w:rPr>
        <w:t>– error term.</w:t>
      </w:r>
      <w:r w:rsidR="00121DCC" w:rsidRPr="007D7FC8">
        <w:rPr>
          <w:rFonts w:ascii="Times New Roman" w:hAnsi="Times New Roman"/>
        </w:rPr>
        <w:t xml:space="preserve"> </w:t>
      </w:r>
      <w:r w:rsidR="006266ED" w:rsidRPr="007D7FC8">
        <w:rPr>
          <w:rFonts w:ascii="Times New Roman" w:hAnsi="Times New Roman"/>
        </w:rPr>
        <w:t xml:space="preserve">Dividend adjustment coefficient </w:t>
      </w:r>
      <w:r w:rsidRPr="007D7FC8">
        <w:rPr>
          <w:rFonts w:ascii="Times New Roman" w:hAnsi="Times New Roman"/>
        </w:rPr>
        <w:t xml:space="preserve">SOA is estimated as </w:t>
      </w:r>
      <w:r w:rsidRPr="007D7FC8">
        <w:rPr>
          <w:rFonts w:ascii="Times New Roman" w:hAnsi="Times New Roman"/>
          <w:position w:val="-12"/>
        </w:rPr>
        <w:object w:dxaOrig="240" w:dyaOrig="360">
          <v:shape id="_x0000_i1038" type="#_x0000_t75" style="width:11.8pt;height:18.25pt" o:ole="">
            <v:imagedata r:id="rId35" o:title=""/>
          </v:shape>
          <o:OLEObject Type="Embed" ProgID="Equation.3" ShapeID="_x0000_i1038" DrawAspect="Content" ObjectID="_1537343781" r:id="rId36"/>
        </w:object>
      </w:r>
      <w:r w:rsidRPr="007D7FC8">
        <w:rPr>
          <w:rFonts w:ascii="Times New Roman" w:hAnsi="Times New Roman"/>
        </w:rPr>
        <w:t xml:space="preserve"> from equation (1). </w:t>
      </w:r>
    </w:p>
    <w:p w:rsidR="001D2026" w:rsidRPr="007D7FC8" w:rsidRDefault="00121DCC" w:rsidP="008A3AAF">
      <w:pPr>
        <w:pStyle w:val="Bezodstpw"/>
        <w:jc w:val="both"/>
        <w:rPr>
          <w:rFonts w:ascii="Times New Roman" w:hAnsi="Times New Roman"/>
        </w:rPr>
      </w:pPr>
      <w:r w:rsidRPr="007D7FC8">
        <w:rPr>
          <w:rFonts w:ascii="Times New Roman" w:hAnsi="Times New Roman"/>
        </w:rPr>
        <w:t xml:space="preserve">Following works of </w:t>
      </w:r>
      <w:proofErr w:type="spellStart"/>
      <w:r w:rsidR="001D2026" w:rsidRPr="007D7FC8">
        <w:rPr>
          <w:rFonts w:ascii="Times New Roman" w:hAnsi="Times New Roman"/>
        </w:rPr>
        <w:t>Fama</w:t>
      </w:r>
      <w:proofErr w:type="spellEnd"/>
      <w:r w:rsidR="001D2026" w:rsidRPr="007D7FC8">
        <w:rPr>
          <w:rFonts w:ascii="Times New Roman" w:hAnsi="Times New Roman"/>
        </w:rPr>
        <w:t xml:space="preserve"> and </w:t>
      </w:r>
      <w:proofErr w:type="spellStart"/>
      <w:r w:rsidR="001D2026" w:rsidRPr="007D7FC8">
        <w:rPr>
          <w:rFonts w:ascii="Times New Roman" w:hAnsi="Times New Roman"/>
        </w:rPr>
        <w:t>Babiak</w:t>
      </w:r>
      <w:proofErr w:type="spellEnd"/>
      <w:r w:rsidR="001D2026" w:rsidRPr="007D7FC8">
        <w:rPr>
          <w:rFonts w:ascii="Times New Roman" w:hAnsi="Times New Roman"/>
        </w:rPr>
        <w:t xml:space="preserve"> </w:t>
      </w:r>
      <w:r w:rsidRPr="007D7FC8">
        <w:rPr>
          <w:rFonts w:ascii="Times New Roman" w:hAnsi="Times New Roman"/>
        </w:rPr>
        <w:t>[</w:t>
      </w:r>
      <w:r w:rsidR="001D2026" w:rsidRPr="007D7FC8">
        <w:rPr>
          <w:rFonts w:ascii="Times New Roman" w:hAnsi="Times New Roman"/>
        </w:rPr>
        <w:t xml:space="preserve">1968], </w:t>
      </w:r>
      <w:proofErr w:type="spellStart"/>
      <w:r w:rsidR="001D2026" w:rsidRPr="007D7FC8">
        <w:rPr>
          <w:rFonts w:ascii="Times New Roman" w:hAnsi="Times New Roman"/>
        </w:rPr>
        <w:t>Dewenter</w:t>
      </w:r>
      <w:proofErr w:type="spellEnd"/>
      <w:r w:rsidR="001D2026" w:rsidRPr="007D7FC8">
        <w:rPr>
          <w:rFonts w:ascii="Times New Roman" w:hAnsi="Times New Roman"/>
        </w:rPr>
        <w:t xml:space="preserve"> and </w:t>
      </w:r>
      <w:proofErr w:type="spellStart"/>
      <w:r w:rsidR="001D2026" w:rsidRPr="007D7FC8">
        <w:rPr>
          <w:rFonts w:ascii="Times New Roman" w:hAnsi="Times New Roman"/>
        </w:rPr>
        <w:t>Warther</w:t>
      </w:r>
      <w:proofErr w:type="spellEnd"/>
      <w:r w:rsidR="001D2026" w:rsidRPr="007D7FC8">
        <w:rPr>
          <w:rFonts w:ascii="Times New Roman" w:hAnsi="Times New Roman"/>
        </w:rPr>
        <w:t xml:space="preserve"> </w:t>
      </w:r>
      <w:r w:rsidRPr="007D7FC8">
        <w:rPr>
          <w:rFonts w:ascii="Times New Roman" w:hAnsi="Times New Roman"/>
        </w:rPr>
        <w:t>[</w:t>
      </w:r>
      <w:r w:rsidR="001D2026" w:rsidRPr="007D7FC8">
        <w:rPr>
          <w:rFonts w:ascii="Times New Roman" w:hAnsi="Times New Roman"/>
        </w:rPr>
        <w:t xml:space="preserve">1998], </w:t>
      </w:r>
      <w:proofErr w:type="spellStart"/>
      <w:r w:rsidR="001D2026" w:rsidRPr="007D7FC8">
        <w:rPr>
          <w:rFonts w:ascii="Times New Roman" w:hAnsi="Times New Roman"/>
        </w:rPr>
        <w:t>Brav</w:t>
      </w:r>
      <w:proofErr w:type="spellEnd"/>
      <w:r w:rsidR="001D2026" w:rsidRPr="007D7FC8">
        <w:rPr>
          <w:rFonts w:ascii="Times New Roman" w:hAnsi="Times New Roman"/>
        </w:rPr>
        <w:t xml:space="preserve"> et al. </w:t>
      </w:r>
      <w:r w:rsidRPr="007D7FC8">
        <w:rPr>
          <w:rFonts w:ascii="Times New Roman" w:hAnsi="Times New Roman"/>
        </w:rPr>
        <w:t>[</w:t>
      </w:r>
      <w:r w:rsidR="001D2026" w:rsidRPr="007D7FC8">
        <w:rPr>
          <w:rFonts w:ascii="Times New Roman" w:hAnsi="Times New Roman"/>
        </w:rPr>
        <w:t>2005],</w:t>
      </w:r>
      <w:r w:rsidRPr="007D7FC8">
        <w:rPr>
          <w:rFonts w:ascii="Times New Roman" w:hAnsi="Times New Roman"/>
        </w:rPr>
        <w:t xml:space="preserve"> and </w:t>
      </w:r>
      <w:proofErr w:type="spellStart"/>
      <w:r w:rsidR="001D2026" w:rsidRPr="007D7FC8">
        <w:rPr>
          <w:rFonts w:ascii="Times New Roman" w:hAnsi="Times New Roman"/>
        </w:rPr>
        <w:t>Javakhadze</w:t>
      </w:r>
      <w:proofErr w:type="spellEnd"/>
      <w:r w:rsidR="001D2026" w:rsidRPr="007D7FC8">
        <w:rPr>
          <w:rFonts w:ascii="Times New Roman" w:hAnsi="Times New Roman"/>
        </w:rPr>
        <w:t xml:space="preserve"> et al. </w:t>
      </w:r>
      <w:r w:rsidR="007241AD" w:rsidRPr="007D7FC8">
        <w:rPr>
          <w:rFonts w:ascii="Times New Roman" w:hAnsi="Times New Roman"/>
        </w:rPr>
        <w:t>[</w:t>
      </w:r>
      <w:r w:rsidR="001D2026" w:rsidRPr="007D7FC8">
        <w:rPr>
          <w:rFonts w:ascii="Times New Roman" w:hAnsi="Times New Roman"/>
        </w:rPr>
        <w:t>2014]</w:t>
      </w:r>
      <w:r w:rsidR="007241AD" w:rsidRPr="007D7FC8">
        <w:rPr>
          <w:rFonts w:ascii="Times New Roman" w:hAnsi="Times New Roman"/>
        </w:rPr>
        <w:t xml:space="preserve"> we end up with the specification </w:t>
      </w:r>
      <w:r w:rsidR="005A2458">
        <w:rPr>
          <w:rFonts w:ascii="Times New Roman" w:hAnsi="Times New Roman"/>
        </w:rPr>
        <w:t>(</w:t>
      </w:r>
      <w:r w:rsidR="007241AD" w:rsidRPr="007D7FC8">
        <w:rPr>
          <w:rFonts w:ascii="Times New Roman" w:hAnsi="Times New Roman"/>
        </w:rPr>
        <w:t>2</w:t>
      </w:r>
      <w:r w:rsidR="005A2458">
        <w:rPr>
          <w:rFonts w:ascii="Times New Roman" w:hAnsi="Times New Roman"/>
        </w:rPr>
        <w:t>)</w:t>
      </w:r>
      <w:r w:rsidR="001D2026" w:rsidRPr="007D7FC8">
        <w:rPr>
          <w:rFonts w:ascii="Times New Roman" w:hAnsi="Times New Roman"/>
        </w:rPr>
        <w:t>:</w:t>
      </w:r>
    </w:p>
    <w:p w:rsidR="001D2026" w:rsidRPr="007D7FC8" w:rsidRDefault="001D2026" w:rsidP="008A3AAF">
      <w:pPr>
        <w:pStyle w:val="Bezodstpw"/>
        <w:ind w:left="1418" w:firstLine="709"/>
        <w:jc w:val="center"/>
        <w:rPr>
          <w:rFonts w:ascii="Times New Roman" w:hAnsi="Times New Roman"/>
        </w:rPr>
      </w:pPr>
      <w:r w:rsidRPr="007D7FC8">
        <w:rPr>
          <w:rFonts w:ascii="Times New Roman" w:hAnsi="Times New Roman"/>
          <w:position w:val="-12"/>
        </w:rPr>
        <w:object w:dxaOrig="2880" w:dyaOrig="340">
          <v:shape id="_x0000_i1039" type="#_x0000_t75" style="width:144.55pt;height:17.2pt" o:ole="">
            <v:imagedata r:id="rId37" o:title=""/>
          </v:shape>
          <o:OLEObject Type="Embed" ProgID="Equation.3" ShapeID="_x0000_i1039" DrawAspect="Content" ObjectID="_1537343782" r:id="rId38"/>
        </w:object>
      </w:r>
      <w:r w:rsidRPr="007D7FC8">
        <w:rPr>
          <w:rFonts w:ascii="Times New Roman" w:hAnsi="Times New Roman"/>
        </w:rPr>
        <w:t>,</w:t>
      </w:r>
      <w:r w:rsidRPr="007D7FC8">
        <w:rPr>
          <w:rFonts w:ascii="Times New Roman" w:hAnsi="Times New Roman"/>
        </w:rPr>
        <w:tab/>
      </w:r>
      <w:r w:rsidRPr="007D7FC8">
        <w:rPr>
          <w:rFonts w:ascii="Times New Roman" w:hAnsi="Times New Roman"/>
        </w:rPr>
        <w:tab/>
      </w:r>
      <w:r w:rsidRPr="007D7FC8">
        <w:rPr>
          <w:rFonts w:ascii="Times New Roman" w:hAnsi="Times New Roman"/>
        </w:rPr>
        <w:tab/>
        <w:t>(2)</w:t>
      </w:r>
    </w:p>
    <w:p w:rsidR="001D2026" w:rsidRPr="007D7FC8" w:rsidRDefault="001D2026" w:rsidP="008A3AAF">
      <w:pPr>
        <w:pStyle w:val="Bezodstpw"/>
        <w:jc w:val="both"/>
        <w:rPr>
          <w:rFonts w:ascii="Times New Roman" w:hAnsi="Times New Roman"/>
        </w:rPr>
      </w:pPr>
      <w:r w:rsidRPr="007D7FC8">
        <w:rPr>
          <w:rFonts w:ascii="Times New Roman" w:hAnsi="Times New Roman"/>
        </w:rPr>
        <w:t xml:space="preserve">where </w:t>
      </w:r>
      <w:r w:rsidRPr="007D7FC8">
        <w:rPr>
          <w:rFonts w:ascii="Times New Roman" w:hAnsi="Times New Roman"/>
          <w:position w:val="-10"/>
        </w:rPr>
        <w:object w:dxaOrig="320" w:dyaOrig="320">
          <v:shape id="_x0000_i1040" type="#_x0000_t75" style="width:15.6pt;height:16.65pt" o:ole="">
            <v:imagedata r:id="rId39" o:title=""/>
          </v:shape>
          <o:OLEObject Type="Embed" ProgID="Equation.3" ShapeID="_x0000_i1040" DrawAspect="Content" ObjectID="_1537343783" r:id="rId40"/>
        </w:object>
      </w:r>
      <w:r w:rsidRPr="007D7FC8">
        <w:rPr>
          <w:rFonts w:ascii="Times New Roman" w:hAnsi="Times New Roman"/>
        </w:rPr>
        <w:t xml:space="preserve"> – target level of dividends for firm </w:t>
      </w:r>
      <w:proofErr w:type="spellStart"/>
      <w:r w:rsidRPr="007D7FC8">
        <w:rPr>
          <w:rFonts w:ascii="Times New Roman" w:hAnsi="Times New Roman"/>
          <w:i/>
        </w:rPr>
        <w:t>i</w:t>
      </w:r>
      <w:proofErr w:type="spellEnd"/>
      <w:r w:rsidRPr="007D7FC8">
        <w:rPr>
          <w:rFonts w:ascii="Times New Roman" w:hAnsi="Times New Roman"/>
        </w:rPr>
        <w:t xml:space="preserve"> in year </w:t>
      </w:r>
      <w:r w:rsidRPr="007D7FC8">
        <w:rPr>
          <w:rFonts w:ascii="Times New Roman" w:hAnsi="Times New Roman"/>
          <w:i/>
        </w:rPr>
        <w:t>t</w:t>
      </w:r>
      <w:r w:rsidRPr="007D7FC8">
        <w:rPr>
          <w:rFonts w:ascii="Times New Roman" w:hAnsi="Times New Roman"/>
        </w:rPr>
        <w:t xml:space="preserve">, </w:t>
      </w:r>
      <w:r w:rsidRPr="007D7FC8">
        <w:rPr>
          <w:rFonts w:ascii="Times New Roman" w:hAnsi="Times New Roman"/>
          <w:position w:val="-10"/>
        </w:rPr>
        <w:object w:dxaOrig="300" w:dyaOrig="320">
          <v:shape id="_x0000_i1041" type="#_x0000_t75" style="width:15.6pt;height:16.65pt" o:ole="">
            <v:imagedata r:id="rId41" o:title=""/>
          </v:shape>
          <o:OLEObject Type="Embed" ProgID="Equation.3" ShapeID="_x0000_i1041" DrawAspect="Content" ObjectID="_1537343784" r:id="rId42"/>
        </w:object>
      </w:r>
      <w:r w:rsidR="00FB72D3">
        <w:rPr>
          <w:rFonts w:ascii="Times New Roman" w:hAnsi="Times New Roman"/>
        </w:rPr>
        <w:t xml:space="preserve">– </w:t>
      </w:r>
      <w:proofErr w:type="spellStart"/>
      <w:r w:rsidR="00FB72D3" w:rsidRPr="00FB72D3">
        <w:rPr>
          <w:rFonts w:ascii="Times New Roman" w:hAnsi="Times New Roman"/>
          <w:i/>
        </w:rPr>
        <w:t>i</w:t>
      </w:r>
      <w:r w:rsidR="00FB72D3" w:rsidRPr="00FB72D3">
        <w:rPr>
          <w:rFonts w:ascii="Times New Roman" w:hAnsi="Times New Roman"/>
          <w:i/>
          <w:vertAlign w:val="superscript"/>
        </w:rPr>
        <w:t>th</w:t>
      </w:r>
      <w:proofErr w:type="spellEnd"/>
      <w:r w:rsidR="00FB72D3">
        <w:rPr>
          <w:rFonts w:ascii="Times New Roman" w:hAnsi="Times New Roman"/>
        </w:rPr>
        <w:t xml:space="preserve"> firm’s</w:t>
      </w:r>
      <w:r w:rsidRPr="007D7FC8">
        <w:rPr>
          <w:rFonts w:ascii="Times New Roman" w:hAnsi="Times New Roman"/>
        </w:rPr>
        <w:t xml:space="preserve"> earnings </w:t>
      </w:r>
      <w:r w:rsidRPr="007D7FC8">
        <w:rPr>
          <w:rFonts w:ascii="Times New Roman" w:hAnsi="Times New Roman"/>
          <w:i/>
        </w:rPr>
        <w:t>per share</w:t>
      </w:r>
      <w:r w:rsidRPr="007D7FC8">
        <w:rPr>
          <w:rFonts w:ascii="Times New Roman" w:hAnsi="Times New Roman"/>
        </w:rPr>
        <w:t xml:space="preserve"> in year </w:t>
      </w:r>
      <w:r w:rsidRPr="007D7FC8">
        <w:rPr>
          <w:rFonts w:ascii="Times New Roman" w:hAnsi="Times New Roman"/>
          <w:i/>
        </w:rPr>
        <w:t>t</w:t>
      </w:r>
      <w:r w:rsidRPr="007D7FC8">
        <w:rPr>
          <w:rFonts w:ascii="Times New Roman" w:hAnsi="Times New Roman"/>
        </w:rPr>
        <w:t xml:space="preserve">, </w:t>
      </w:r>
      <w:r w:rsidRPr="007D7FC8">
        <w:rPr>
          <w:position w:val="-10"/>
        </w:rPr>
        <w:object w:dxaOrig="639" w:dyaOrig="320">
          <v:shape id="_x0000_i1042" type="#_x0000_t75" style="width:32.25pt;height:16.65pt" o:ole="">
            <v:imagedata r:id="rId43" o:title=""/>
          </v:shape>
          <o:OLEObject Type="Embed" ProgID="Equation.3" ShapeID="_x0000_i1042" DrawAspect="Content" ObjectID="_1537343785" r:id="rId44"/>
        </w:object>
      </w:r>
      <w:r w:rsidRPr="007D7FC8">
        <w:rPr>
          <w:rFonts w:ascii="Times New Roman" w:hAnsi="Times New Roman"/>
        </w:rPr>
        <w:t xml:space="preserve">– parameters, </w:t>
      </w:r>
      <w:r w:rsidRPr="007D7FC8">
        <w:rPr>
          <w:rFonts w:ascii="Times New Roman" w:hAnsi="Times New Roman"/>
          <w:position w:val="-10"/>
        </w:rPr>
        <w:object w:dxaOrig="279" w:dyaOrig="320">
          <v:shape id="_x0000_i1043" type="#_x0000_t75" style="width:12.9pt;height:16.65pt" o:ole="">
            <v:imagedata r:id="rId45" o:title=""/>
          </v:shape>
          <o:OLEObject Type="Embed" ProgID="Equation.3" ShapeID="_x0000_i1043" DrawAspect="Content" ObjectID="_1537343786" r:id="rId46"/>
        </w:object>
      </w:r>
      <w:r w:rsidRPr="007D7FC8">
        <w:rPr>
          <w:rFonts w:ascii="Times New Roman" w:hAnsi="Times New Roman"/>
        </w:rPr>
        <w:t xml:space="preserve">– error term. The parameters of equation (2) were estimated using the OLS method. </w:t>
      </w:r>
      <w:r w:rsidR="007677B1" w:rsidRPr="007D7FC8">
        <w:rPr>
          <w:rFonts w:ascii="Times New Roman" w:hAnsi="Times New Roman"/>
        </w:rPr>
        <w:t xml:space="preserve">The </w:t>
      </w:r>
      <w:r w:rsidRPr="007D7FC8">
        <w:rPr>
          <w:rFonts w:ascii="Times New Roman" w:hAnsi="Times New Roman"/>
        </w:rPr>
        <w:t xml:space="preserve">SOA coefficient, which indicates how dividends change in response to a change in earnings, was estimated as </w:t>
      </w:r>
      <w:r w:rsidRPr="007D7FC8">
        <w:rPr>
          <w:rFonts w:ascii="Times New Roman" w:hAnsi="Times New Roman"/>
          <w:position w:val="-10"/>
        </w:rPr>
        <w:object w:dxaOrig="440" w:dyaOrig="320">
          <v:shape id="_x0000_i1044" type="#_x0000_t75" style="width:21.5pt;height:16.65pt" o:ole="">
            <v:imagedata r:id="rId47" o:title=""/>
          </v:shape>
          <o:OLEObject Type="Embed" ProgID="Equation.3" ShapeID="_x0000_i1044" DrawAspect="Content" ObjectID="_1537343787" r:id="rId48"/>
        </w:object>
      </w:r>
      <w:r w:rsidRPr="007D7FC8">
        <w:rPr>
          <w:rFonts w:ascii="Times New Roman" w:hAnsi="Times New Roman"/>
        </w:rPr>
        <w:t xml:space="preserve"> from the equation (2). In order to control for the scale effects, both the dividends and earnings were divided by the number of common shares outstanding [</w:t>
      </w:r>
      <w:proofErr w:type="spellStart"/>
      <w:r w:rsidRPr="007D7FC8">
        <w:rPr>
          <w:rFonts w:ascii="Times New Roman" w:hAnsi="Times New Roman"/>
        </w:rPr>
        <w:t>Fama</w:t>
      </w:r>
      <w:proofErr w:type="spellEnd"/>
      <w:r w:rsidRPr="007D7FC8">
        <w:rPr>
          <w:rFonts w:ascii="Times New Roman" w:hAnsi="Times New Roman"/>
        </w:rPr>
        <w:t xml:space="preserve"> and </w:t>
      </w:r>
      <w:proofErr w:type="spellStart"/>
      <w:r w:rsidRPr="007D7FC8">
        <w:rPr>
          <w:rFonts w:ascii="Times New Roman" w:hAnsi="Times New Roman"/>
        </w:rPr>
        <w:t>Babiak</w:t>
      </w:r>
      <w:proofErr w:type="spellEnd"/>
      <w:r w:rsidRPr="007D7FC8">
        <w:rPr>
          <w:rFonts w:ascii="Times New Roman" w:hAnsi="Times New Roman"/>
        </w:rPr>
        <w:t xml:space="preserve"> 1968, </w:t>
      </w:r>
      <w:proofErr w:type="spellStart"/>
      <w:r w:rsidRPr="007D7FC8">
        <w:rPr>
          <w:rFonts w:ascii="Times New Roman" w:hAnsi="Times New Roman"/>
        </w:rPr>
        <w:t>Brav</w:t>
      </w:r>
      <w:proofErr w:type="spellEnd"/>
      <w:r w:rsidRPr="007D7FC8">
        <w:rPr>
          <w:rFonts w:ascii="Times New Roman" w:hAnsi="Times New Roman"/>
        </w:rPr>
        <w:t xml:space="preserve"> et al. 2005].</w:t>
      </w:r>
    </w:p>
    <w:p w:rsidR="007241AD" w:rsidRPr="007D7FC8" w:rsidRDefault="00E85DE8" w:rsidP="008A3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 w:rsidRPr="007D7FC8">
        <w:rPr>
          <w:rFonts w:ascii="Times New Roman" w:hAnsi="Times New Roman"/>
          <w:lang w:val="en-US"/>
        </w:rPr>
        <w:t xml:space="preserve">In order </w:t>
      </w:r>
      <w:r w:rsidR="007241AD" w:rsidRPr="007D7FC8">
        <w:rPr>
          <w:rFonts w:ascii="Times New Roman" w:hAnsi="Times New Roman"/>
          <w:lang w:val="en-US"/>
        </w:rPr>
        <w:t xml:space="preserve">to find out the statistical significance of the SOA coefficient arithmetic average </w:t>
      </w:r>
      <w:r w:rsidRPr="007D7FC8">
        <w:rPr>
          <w:rFonts w:ascii="Times New Roman" w:hAnsi="Times New Roman"/>
          <w:lang w:val="en-US"/>
        </w:rPr>
        <w:t xml:space="preserve">the parametric tests for one mean is </w:t>
      </w:r>
      <w:r w:rsidR="007241AD" w:rsidRPr="007D7FC8">
        <w:rPr>
          <w:rFonts w:ascii="Times New Roman" w:hAnsi="Times New Roman"/>
          <w:lang w:val="en-US"/>
        </w:rPr>
        <w:t xml:space="preserve">employed as well as the </w:t>
      </w:r>
      <w:proofErr w:type="spellStart"/>
      <w:r w:rsidR="007241AD" w:rsidRPr="007D7FC8">
        <w:rPr>
          <w:rFonts w:ascii="Times New Roman" w:hAnsi="Times New Roman"/>
          <w:lang w:val="en-US"/>
        </w:rPr>
        <w:t>Levene's</w:t>
      </w:r>
      <w:proofErr w:type="spellEnd"/>
      <w:r w:rsidR="007241AD" w:rsidRPr="007D7FC8">
        <w:rPr>
          <w:rFonts w:ascii="Times New Roman" w:hAnsi="Times New Roman"/>
          <w:lang w:val="en-US"/>
        </w:rPr>
        <w:t xml:space="preserve"> test for equality of variances</w:t>
      </w:r>
      <w:r w:rsidR="007677B1" w:rsidRPr="007D7FC8">
        <w:rPr>
          <w:rFonts w:ascii="Times New Roman" w:hAnsi="Times New Roman"/>
          <w:lang w:val="en-US"/>
        </w:rPr>
        <w:t>, test for</w:t>
      </w:r>
      <w:r w:rsidRPr="007D7FC8">
        <w:rPr>
          <w:rFonts w:ascii="Times New Roman" w:hAnsi="Times New Roman"/>
          <w:lang w:val="en-US"/>
        </w:rPr>
        <w:t xml:space="preserve"> differences between </w:t>
      </w:r>
      <w:r w:rsidR="007677B1" w:rsidRPr="007D7FC8">
        <w:rPr>
          <w:rFonts w:ascii="Times New Roman" w:hAnsi="Times New Roman"/>
          <w:lang w:val="en-US"/>
        </w:rPr>
        <w:t xml:space="preserve">two means </w:t>
      </w:r>
      <w:r w:rsidR="007241AD" w:rsidRPr="007D7FC8">
        <w:rPr>
          <w:rFonts w:ascii="Times New Roman" w:hAnsi="Times New Roman"/>
          <w:lang w:val="en-US"/>
        </w:rPr>
        <w:t>and the one-way ANOVA analysis. Having considered the distribution of the SOA coefficient in the whole research sample (N=162)</w:t>
      </w:r>
      <w:r w:rsidRPr="007D7FC8">
        <w:rPr>
          <w:rFonts w:ascii="Times New Roman" w:hAnsi="Times New Roman"/>
          <w:lang w:val="en-US"/>
        </w:rPr>
        <w:t>,</w:t>
      </w:r>
      <w:r w:rsidR="007241AD" w:rsidRPr="007D7FC8">
        <w:rPr>
          <w:rFonts w:ascii="Times New Roman" w:hAnsi="Times New Roman"/>
          <w:lang w:val="en-US"/>
        </w:rPr>
        <w:t xml:space="preserve"> the </w:t>
      </w:r>
      <w:r w:rsidR="00FB72D3">
        <w:rPr>
          <w:rFonts w:ascii="Times New Roman" w:hAnsi="Times New Roman"/>
          <w:lang w:val="en-US"/>
        </w:rPr>
        <w:t xml:space="preserve">additional </w:t>
      </w:r>
      <w:r w:rsidR="007241AD" w:rsidRPr="007D7FC8">
        <w:rPr>
          <w:rFonts w:ascii="Times New Roman" w:hAnsi="Times New Roman"/>
          <w:lang w:val="en-US"/>
        </w:rPr>
        <w:t>non-parametric tests</w:t>
      </w:r>
      <w:r w:rsidRPr="007D7FC8">
        <w:rPr>
          <w:rFonts w:ascii="Times New Roman" w:hAnsi="Times New Roman"/>
          <w:lang w:val="en-US"/>
        </w:rPr>
        <w:t xml:space="preserve"> including</w:t>
      </w:r>
      <w:r w:rsidR="007241AD" w:rsidRPr="007D7FC8">
        <w:rPr>
          <w:rFonts w:ascii="Times New Roman" w:hAnsi="Times New Roman"/>
          <w:lang w:val="en-US"/>
        </w:rPr>
        <w:t xml:space="preserve"> either the Mann-Whitney U test or </w:t>
      </w:r>
      <w:r w:rsidRPr="007D7FC8">
        <w:rPr>
          <w:rFonts w:ascii="Times New Roman" w:hAnsi="Times New Roman"/>
          <w:lang w:val="en-US"/>
        </w:rPr>
        <w:t xml:space="preserve">the </w:t>
      </w:r>
      <w:proofErr w:type="spellStart"/>
      <w:r w:rsidR="007241AD" w:rsidRPr="007D7FC8">
        <w:rPr>
          <w:rFonts w:ascii="Times New Roman" w:hAnsi="Times New Roman"/>
          <w:lang w:val="en-US"/>
        </w:rPr>
        <w:t>Kruskal</w:t>
      </w:r>
      <w:proofErr w:type="spellEnd"/>
      <w:r w:rsidR="007241AD" w:rsidRPr="007D7FC8">
        <w:rPr>
          <w:rFonts w:ascii="Times New Roman" w:hAnsi="Times New Roman"/>
          <w:lang w:val="en-US"/>
        </w:rPr>
        <w:t xml:space="preserve">-Wallis rank test and </w:t>
      </w:r>
      <w:r w:rsidRPr="007D7FC8">
        <w:rPr>
          <w:rFonts w:ascii="Times New Roman" w:hAnsi="Times New Roman"/>
          <w:lang w:val="en-US"/>
        </w:rPr>
        <w:t xml:space="preserve">the </w:t>
      </w:r>
      <w:r w:rsidR="007241AD" w:rsidRPr="007D7FC8">
        <w:rPr>
          <w:rFonts w:ascii="Times New Roman" w:hAnsi="Times New Roman"/>
          <w:lang w:val="en-US"/>
        </w:rPr>
        <w:t>median tes</w:t>
      </w:r>
      <w:r w:rsidR="007D7FC8" w:rsidRPr="007D7FC8">
        <w:rPr>
          <w:rFonts w:ascii="Times New Roman" w:hAnsi="Times New Roman"/>
          <w:lang w:val="en-US"/>
        </w:rPr>
        <w:t xml:space="preserve">t </w:t>
      </w:r>
      <w:r w:rsidRPr="007D7FC8">
        <w:rPr>
          <w:rFonts w:ascii="Times New Roman" w:hAnsi="Times New Roman"/>
          <w:lang w:val="en-US"/>
        </w:rPr>
        <w:t xml:space="preserve">are </w:t>
      </w:r>
      <w:r w:rsidR="007241AD" w:rsidRPr="007D7FC8">
        <w:rPr>
          <w:rFonts w:ascii="Times New Roman" w:hAnsi="Times New Roman"/>
          <w:lang w:val="en-US"/>
        </w:rPr>
        <w:t xml:space="preserve">performed. </w:t>
      </w:r>
    </w:p>
    <w:p w:rsidR="00FA614D" w:rsidRPr="007D7FC8" w:rsidRDefault="007241AD" w:rsidP="008A3AAF">
      <w:pPr>
        <w:pStyle w:val="Bezodstpw"/>
        <w:jc w:val="both"/>
        <w:rPr>
          <w:rFonts w:ascii="Times New Roman" w:hAnsi="Times New Roman"/>
        </w:rPr>
      </w:pPr>
      <w:r w:rsidRPr="007D7FC8">
        <w:rPr>
          <w:rFonts w:ascii="Times New Roman" w:hAnsi="Times New Roman"/>
        </w:rPr>
        <w:t xml:space="preserve"> </w:t>
      </w:r>
    </w:p>
    <w:p w:rsidR="007241AD" w:rsidRPr="007D7FC8" w:rsidRDefault="000F7015" w:rsidP="008A3AAF">
      <w:pPr>
        <w:spacing w:after="0" w:line="240" w:lineRule="auto"/>
        <w:jc w:val="both"/>
        <w:rPr>
          <w:rFonts w:ascii="Times New Roman" w:hAnsi="Times New Roman"/>
          <w:b/>
          <w:smallCaps/>
          <w:lang w:val="en-GB"/>
        </w:rPr>
      </w:pPr>
      <w:r w:rsidRPr="007D7FC8">
        <w:rPr>
          <w:rFonts w:ascii="Times New Roman" w:hAnsi="Times New Roman"/>
          <w:b/>
          <w:smallCaps/>
          <w:lang w:val="en-GB"/>
        </w:rPr>
        <w:t>basic</w:t>
      </w:r>
      <w:r w:rsidR="00FA614D" w:rsidRPr="007D7FC8">
        <w:rPr>
          <w:rFonts w:ascii="Times New Roman" w:hAnsi="Times New Roman"/>
          <w:b/>
          <w:smallCaps/>
          <w:lang w:val="en-GB"/>
        </w:rPr>
        <w:t xml:space="preserve"> </w:t>
      </w:r>
      <w:r w:rsidR="007241AD" w:rsidRPr="007D7FC8">
        <w:rPr>
          <w:rFonts w:ascii="Times New Roman" w:hAnsi="Times New Roman"/>
          <w:b/>
          <w:smallCaps/>
          <w:lang w:val="en-GB"/>
        </w:rPr>
        <w:t>conclusions</w:t>
      </w:r>
    </w:p>
    <w:p w:rsidR="007977AB" w:rsidRPr="007D7FC8" w:rsidRDefault="009749FD" w:rsidP="008A3AAF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7D7FC8">
        <w:rPr>
          <w:rFonts w:ascii="Times New Roman" w:hAnsi="Times New Roman"/>
          <w:lang w:val="en-GB"/>
        </w:rPr>
        <w:t>The obtained SOA values are positive and significantly different from zero.</w:t>
      </w:r>
      <w:r w:rsidRPr="007D7FC8">
        <w:rPr>
          <w:rFonts w:ascii="Times New Roman" w:hAnsi="Times New Roman"/>
          <w:lang w:val="en-US"/>
        </w:rPr>
        <w:t xml:space="preserve"> </w:t>
      </w:r>
      <w:r w:rsidR="006266ED" w:rsidRPr="007D7FC8">
        <w:rPr>
          <w:rFonts w:ascii="Times New Roman" w:hAnsi="Times New Roman"/>
          <w:lang w:val="en-US"/>
        </w:rPr>
        <w:t>T</w:t>
      </w:r>
      <w:r w:rsidR="007241AD" w:rsidRPr="007D7FC8">
        <w:rPr>
          <w:rFonts w:ascii="Times New Roman" w:hAnsi="Times New Roman"/>
          <w:lang w:val="en-US"/>
        </w:rPr>
        <w:t xml:space="preserve">he mean and median values of the SOA coefficient </w:t>
      </w:r>
      <w:r w:rsidR="006266ED" w:rsidRPr="007D7FC8">
        <w:rPr>
          <w:rFonts w:ascii="Times New Roman" w:hAnsi="Times New Roman"/>
          <w:lang w:val="en-US"/>
        </w:rPr>
        <w:t>are suggesting rather low levels of the dividend smoothing among the selected emerging stock markets.</w:t>
      </w:r>
      <w:r w:rsidRPr="007D7FC8">
        <w:rPr>
          <w:rFonts w:ascii="Times New Roman" w:hAnsi="Times New Roman"/>
          <w:lang w:val="en-US"/>
        </w:rPr>
        <w:t xml:space="preserve"> </w:t>
      </w:r>
      <w:r w:rsidR="00A04AF2" w:rsidRPr="007D7FC8">
        <w:rPr>
          <w:rFonts w:ascii="Times New Roman" w:hAnsi="Times New Roman"/>
          <w:lang w:val="en-US"/>
        </w:rPr>
        <w:t xml:space="preserve">The means of the </w:t>
      </w:r>
      <w:r w:rsidR="006266ED" w:rsidRPr="007D7FC8">
        <w:rPr>
          <w:rFonts w:ascii="Times New Roman" w:hAnsi="Times New Roman"/>
          <w:lang w:val="en-US"/>
        </w:rPr>
        <w:t xml:space="preserve">SOA coefficient and </w:t>
      </w:r>
      <w:r w:rsidR="00A04AF2" w:rsidRPr="007D7FC8">
        <w:rPr>
          <w:rFonts w:ascii="Times New Roman" w:hAnsi="Times New Roman"/>
          <w:lang w:val="en-US"/>
        </w:rPr>
        <w:t xml:space="preserve">its </w:t>
      </w:r>
      <w:r w:rsidR="006266ED" w:rsidRPr="007D7FC8">
        <w:rPr>
          <w:rFonts w:ascii="Times New Roman" w:hAnsi="Times New Roman"/>
          <w:lang w:val="en-US"/>
        </w:rPr>
        <w:t xml:space="preserve">medians are homogeneous among the Latin American stock markets and within </w:t>
      </w:r>
      <w:r w:rsidR="00E85DE8" w:rsidRPr="007D7FC8">
        <w:rPr>
          <w:rFonts w:ascii="Times New Roman" w:hAnsi="Times New Roman"/>
          <w:lang w:val="en-US"/>
        </w:rPr>
        <w:t xml:space="preserve">the </w:t>
      </w:r>
      <w:r w:rsidR="006266ED" w:rsidRPr="007D7FC8">
        <w:rPr>
          <w:rFonts w:ascii="Times New Roman" w:hAnsi="Times New Roman"/>
          <w:lang w:val="en-US"/>
        </w:rPr>
        <w:t>sectors.</w:t>
      </w:r>
      <w:r w:rsidR="0040047D" w:rsidRPr="007D7FC8">
        <w:rPr>
          <w:rFonts w:ascii="Times New Roman" w:hAnsi="Times New Roman"/>
          <w:lang w:val="en-US"/>
        </w:rPr>
        <w:t xml:space="preserve"> </w:t>
      </w:r>
      <w:r w:rsidR="007977AB" w:rsidRPr="007D7FC8">
        <w:rPr>
          <w:rFonts w:ascii="Times New Roman" w:hAnsi="Times New Roman"/>
          <w:lang w:val="en-US"/>
        </w:rPr>
        <w:t xml:space="preserve">Thus, although we find examples of </w:t>
      </w:r>
      <w:r w:rsidR="007977AB" w:rsidRPr="007D7FC8">
        <w:rPr>
          <w:rFonts w:ascii="Times New Roman" w:hAnsi="Times New Roman"/>
          <w:lang w:val="en-US"/>
        </w:rPr>
        <w:lastRenderedPageBreak/>
        <w:t xml:space="preserve">companies in the selected stock markets that strongly smooth their dividends, the broader view on the </w:t>
      </w:r>
      <w:r w:rsidR="00646B20">
        <w:rPr>
          <w:rFonts w:ascii="Times New Roman" w:hAnsi="Times New Roman"/>
          <w:lang w:val="en-US"/>
        </w:rPr>
        <w:t>country</w:t>
      </w:r>
      <w:r w:rsidR="007977AB" w:rsidRPr="007D7FC8">
        <w:rPr>
          <w:rFonts w:ascii="Times New Roman" w:hAnsi="Times New Roman"/>
          <w:lang w:val="en-US"/>
        </w:rPr>
        <w:t xml:space="preserve"> samples gives rather weak support </w:t>
      </w:r>
      <w:r w:rsidR="00A04AF2" w:rsidRPr="007D7FC8">
        <w:rPr>
          <w:rFonts w:ascii="Times New Roman" w:hAnsi="Times New Roman"/>
          <w:lang w:val="en-US"/>
        </w:rPr>
        <w:t xml:space="preserve">for </w:t>
      </w:r>
      <w:r w:rsidR="007977AB" w:rsidRPr="007D7FC8">
        <w:rPr>
          <w:rFonts w:ascii="Times New Roman" w:hAnsi="Times New Roman"/>
          <w:lang w:val="en-US"/>
        </w:rPr>
        <w:t>the first hypothesis. Moreover</w:t>
      </w:r>
      <w:r w:rsidR="00A04AF2" w:rsidRPr="007D7FC8">
        <w:rPr>
          <w:rFonts w:ascii="Times New Roman" w:hAnsi="Times New Roman"/>
          <w:lang w:val="en-US"/>
        </w:rPr>
        <w:t>,</w:t>
      </w:r>
      <w:r w:rsidR="007977AB" w:rsidRPr="007D7FC8">
        <w:rPr>
          <w:rFonts w:ascii="Times New Roman" w:hAnsi="Times New Roman"/>
          <w:lang w:val="en-US"/>
        </w:rPr>
        <w:t xml:space="preserve"> since we find no differences in </w:t>
      </w:r>
      <w:r w:rsidR="00A04AF2" w:rsidRPr="007D7FC8">
        <w:rPr>
          <w:rFonts w:ascii="Times New Roman" w:hAnsi="Times New Roman"/>
          <w:lang w:val="en-US"/>
        </w:rPr>
        <w:t xml:space="preserve">the </w:t>
      </w:r>
      <w:r w:rsidR="007977AB" w:rsidRPr="007D7FC8">
        <w:rPr>
          <w:rFonts w:ascii="Times New Roman" w:hAnsi="Times New Roman"/>
          <w:lang w:val="en-US"/>
        </w:rPr>
        <w:t xml:space="preserve">estimated SOA values </w:t>
      </w:r>
      <w:r w:rsidR="00A04AF2" w:rsidRPr="007D7FC8">
        <w:rPr>
          <w:rFonts w:ascii="Times New Roman" w:hAnsi="Times New Roman"/>
          <w:lang w:val="en-US"/>
        </w:rPr>
        <w:t xml:space="preserve">either </w:t>
      </w:r>
      <w:r w:rsidR="007977AB" w:rsidRPr="007D7FC8">
        <w:rPr>
          <w:rFonts w:ascii="Times New Roman" w:hAnsi="Times New Roman"/>
          <w:lang w:val="en-US"/>
        </w:rPr>
        <w:t xml:space="preserve">among the selected markets </w:t>
      </w:r>
      <w:r w:rsidR="00A04AF2" w:rsidRPr="007D7FC8">
        <w:rPr>
          <w:rFonts w:ascii="Times New Roman" w:hAnsi="Times New Roman"/>
          <w:lang w:val="en-US"/>
        </w:rPr>
        <w:t xml:space="preserve">or the </w:t>
      </w:r>
      <w:r w:rsidR="007977AB" w:rsidRPr="007D7FC8">
        <w:rPr>
          <w:rFonts w:ascii="Times New Roman" w:hAnsi="Times New Roman"/>
          <w:lang w:val="en-US"/>
        </w:rPr>
        <w:t xml:space="preserve">sectors, </w:t>
      </w:r>
      <w:r w:rsidR="00A04AF2" w:rsidRPr="007D7FC8">
        <w:rPr>
          <w:rFonts w:ascii="Times New Roman" w:hAnsi="Times New Roman"/>
          <w:lang w:val="en-US"/>
        </w:rPr>
        <w:t xml:space="preserve">the second research hypothesis should be rejected. </w:t>
      </w:r>
    </w:p>
    <w:p w:rsidR="006266ED" w:rsidRPr="007D7FC8" w:rsidRDefault="007977AB" w:rsidP="008A3AAF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7D7FC8">
        <w:rPr>
          <w:rFonts w:ascii="Times New Roman" w:hAnsi="Times New Roman"/>
          <w:lang w:val="en-US"/>
        </w:rPr>
        <w:t xml:space="preserve"> </w:t>
      </w:r>
    </w:p>
    <w:p w:rsidR="009A72E8" w:rsidRDefault="009A72E8" w:rsidP="008A3AAF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7D7FC8">
        <w:rPr>
          <w:rFonts w:ascii="Times New Roman" w:hAnsi="Times New Roman"/>
          <w:lang w:val="en-US"/>
        </w:rPr>
        <w:t>The research is a part of the National Science Centre research grant (NCN 2014/15/D/HS4/01220).</w:t>
      </w:r>
      <w:r w:rsidRPr="00BB7E96">
        <w:rPr>
          <w:rFonts w:ascii="Times New Roman" w:hAnsi="Times New Roman"/>
          <w:lang w:val="en-US"/>
        </w:rPr>
        <w:t xml:space="preserve">  </w:t>
      </w:r>
      <w:r w:rsidRPr="00BB7E96">
        <w:rPr>
          <w:rFonts w:ascii="Times New Roman" w:hAnsi="Times New Roman"/>
          <w:lang w:val="en-US"/>
        </w:rPr>
        <w:tab/>
      </w:r>
    </w:p>
    <w:sectPr w:rsidR="009A72E8" w:rsidSect="009A72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51" w:rsidRDefault="00106551" w:rsidP="001D2026">
      <w:pPr>
        <w:spacing w:after="0" w:line="240" w:lineRule="auto"/>
      </w:pPr>
      <w:r>
        <w:separator/>
      </w:r>
    </w:p>
  </w:endnote>
  <w:endnote w:type="continuationSeparator" w:id="0">
    <w:p w:rsidR="00106551" w:rsidRDefault="00106551" w:rsidP="001D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51" w:rsidRDefault="00106551" w:rsidP="001D2026">
      <w:pPr>
        <w:spacing w:after="0" w:line="240" w:lineRule="auto"/>
      </w:pPr>
      <w:r>
        <w:separator/>
      </w:r>
    </w:p>
  </w:footnote>
  <w:footnote w:type="continuationSeparator" w:id="0">
    <w:p w:rsidR="00106551" w:rsidRDefault="00106551" w:rsidP="001D2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2724"/>
    <w:multiLevelType w:val="multilevel"/>
    <w:tmpl w:val="D0E8FB6E"/>
    <w:lvl w:ilvl="0">
      <w:start w:val="1"/>
      <w:numFmt w:val="decimal"/>
      <w:pStyle w:val="Nagwek1U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agwek11U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A7F7589"/>
    <w:multiLevelType w:val="multilevel"/>
    <w:tmpl w:val="7D1A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A79FF"/>
    <w:multiLevelType w:val="hybridMultilevel"/>
    <w:tmpl w:val="1FB02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96"/>
    <w:rsid w:val="00061FD6"/>
    <w:rsid w:val="0009482F"/>
    <w:rsid w:val="000F7015"/>
    <w:rsid w:val="00106551"/>
    <w:rsid w:val="00121DCC"/>
    <w:rsid w:val="0012424E"/>
    <w:rsid w:val="00156B79"/>
    <w:rsid w:val="00173BF0"/>
    <w:rsid w:val="0019032B"/>
    <w:rsid w:val="001B5E99"/>
    <w:rsid w:val="001D2026"/>
    <w:rsid w:val="001D4CBC"/>
    <w:rsid w:val="00226404"/>
    <w:rsid w:val="00264488"/>
    <w:rsid w:val="00294CEE"/>
    <w:rsid w:val="002B7FC0"/>
    <w:rsid w:val="00367CB1"/>
    <w:rsid w:val="0040047D"/>
    <w:rsid w:val="0044519B"/>
    <w:rsid w:val="004E283D"/>
    <w:rsid w:val="004F70C0"/>
    <w:rsid w:val="004F75F4"/>
    <w:rsid w:val="00537DF0"/>
    <w:rsid w:val="00586DA7"/>
    <w:rsid w:val="005A2458"/>
    <w:rsid w:val="005F37D5"/>
    <w:rsid w:val="006266ED"/>
    <w:rsid w:val="00634782"/>
    <w:rsid w:val="00640486"/>
    <w:rsid w:val="00646B20"/>
    <w:rsid w:val="00652D65"/>
    <w:rsid w:val="00667DB1"/>
    <w:rsid w:val="00674253"/>
    <w:rsid w:val="00693CE6"/>
    <w:rsid w:val="006C2BDC"/>
    <w:rsid w:val="006D0F93"/>
    <w:rsid w:val="006D5E40"/>
    <w:rsid w:val="006F3DCC"/>
    <w:rsid w:val="00715CA0"/>
    <w:rsid w:val="007241AD"/>
    <w:rsid w:val="00734064"/>
    <w:rsid w:val="007677B1"/>
    <w:rsid w:val="00795EB4"/>
    <w:rsid w:val="007977AB"/>
    <w:rsid w:val="007A2146"/>
    <w:rsid w:val="007C69C5"/>
    <w:rsid w:val="007D7FC8"/>
    <w:rsid w:val="0085563F"/>
    <w:rsid w:val="008A3AAF"/>
    <w:rsid w:val="008B2061"/>
    <w:rsid w:val="00911289"/>
    <w:rsid w:val="00916B5C"/>
    <w:rsid w:val="009749FD"/>
    <w:rsid w:val="00983E6B"/>
    <w:rsid w:val="00985E7B"/>
    <w:rsid w:val="009A72E8"/>
    <w:rsid w:val="00A04AF2"/>
    <w:rsid w:val="00A319AC"/>
    <w:rsid w:val="00A5311A"/>
    <w:rsid w:val="00A84E59"/>
    <w:rsid w:val="00AF47D3"/>
    <w:rsid w:val="00B96608"/>
    <w:rsid w:val="00BB01FE"/>
    <w:rsid w:val="00BB7E96"/>
    <w:rsid w:val="00BE546D"/>
    <w:rsid w:val="00BE7628"/>
    <w:rsid w:val="00D20836"/>
    <w:rsid w:val="00D41FEA"/>
    <w:rsid w:val="00D62ADD"/>
    <w:rsid w:val="00D64A76"/>
    <w:rsid w:val="00D816F2"/>
    <w:rsid w:val="00DA0F9E"/>
    <w:rsid w:val="00DC72AF"/>
    <w:rsid w:val="00DD1487"/>
    <w:rsid w:val="00DF4CF4"/>
    <w:rsid w:val="00E062E0"/>
    <w:rsid w:val="00E31F21"/>
    <w:rsid w:val="00E85DE8"/>
    <w:rsid w:val="00ED42E1"/>
    <w:rsid w:val="00F37D2A"/>
    <w:rsid w:val="00F8459D"/>
    <w:rsid w:val="00FA614D"/>
    <w:rsid w:val="00FA6879"/>
    <w:rsid w:val="00FB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7E96"/>
    <w:pPr>
      <w:spacing w:after="0" w:line="240" w:lineRule="auto"/>
    </w:pPr>
    <w:rPr>
      <w:lang w:val="en-US"/>
    </w:rPr>
  </w:style>
  <w:style w:type="paragraph" w:styleId="Akapitzlist">
    <w:name w:val="List Paragraph"/>
    <w:basedOn w:val="Normalny"/>
    <w:uiPriority w:val="34"/>
    <w:qFormat/>
    <w:rsid w:val="00264488"/>
    <w:pPr>
      <w:ind w:left="720"/>
      <w:contextualSpacing/>
    </w:pPr>
  </w:style>
  <w:style w:type="paragraph" w:customStyle="1" w:styleId="Nagwek1UE">
    <w:name w:val="Nagłówek 1. (UE)"/>
    <w:basedOn w:val="Normalny"/>
    <w:next w:val="Normalny"/>
    <w:qFormat/>
    <w:rsid w:val="00652D65"/>
    <w:pPr>
      <w:keepNext/>
      <w:keepLines/>
      <w:numPr>
        <w:numId w:val="2"/>
      </w:numPr>
      <w:suppressAutoHyphens/>
      <w:spacing w:before="720" w:after="260" w:line="240" w:lineRule="auto"/>
    </w:pPr>
    <w:rPr>
      <w:rFonts w:ascii="Times New Roman" w:eastAsia="Calibri" w:hAnsi="Times New Roman" w:cs="Times New Roman"/>
      <w:b/>
      <w:sz w:val="26"/>
    </w:rPr>
  </w:style>
  <w:style w:type="paragraph" w:customStyle="1" w:styleId="Nagwek11UE">
    <w:name w:val="Nagłówek 1.1. (UE)"/>
    <w:basedOn w:val="Nagwek1UE"/>
    <w:next w:val="Normalny"/>
    <w:link w:val="Nagwek11UEZnak"/>
    <w:qFormat/>
    <w:rsid w:val="00652D65"/>
    <w:pPr>
      <w:numPr>
        <w:ilvl w:val="1"/>
      </w:numPr>
      <w:spacing w:before="320" w:after="120"/>
    </w:pPr>
    <w:rPr>
      <w:sz w:val="22"/>
    </w:rPr>
  </w:style>
  <w:style w:type="character" w:customStyle="1" w:styleId="Nagwek11UEZnak">
    <w:name w:val="Nagłówek 1.1. (UE) Znak"/>
    <w:link w:val="Nagwek11UE"/>
    <w:rsid w:val="00652D65"/>
    <w:rPr>
      <w:rFonts w:ascii="Times New Roman" w:eastAsia="Calibri" w:hAnsi="Times New Roman" w:cs="Times New Roman"/>
      <w:b/>
    </w:rPr>
  </w:style>
  <w:style w:type="paragraph" w:customStyle="1" w:styleId="TekstpodstUE">
    <w:name w:val="Tekst podst. (UE)"/>
    <w:basedOn w:val="Normalny"/>
    <w:next w:val="TekstpodstwcityUE"/>
    <w:qFormat/>
    <w:rsid w:val="00652D65"/>
    <w:pPr>
      <w:spacing w:after="0" w:line="260" w:lineRule="atLeast"/>
      <w:jc w:val="both"/>
    </w:pPr>
    <w:rPr>
      <w:rFonts w:ascii="Times New Roman" w:eastAsia="Calibri" w:hAnsi="Times New Roman" w:cs="Times New Roman"/>
      <w:spacing w:val="-2"/>
    </w:rPr>
  </w:style>
  <w:style w:type="paragraph" w:customStyle="1" w:styleId="TekstpodstwcityUE">
    <w:name w:val="Tekst podst.::wcięty (UE)"/>
    <w:basedOn w:val="TekstpodstUE"/>
    <w:qFormat/>
    <w:rsid w:val="00652D65"/>
    <w:pPr>
      <w:spacing w:after="120"/>
      <w:ind w:firstLine="34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1D2026"/>
    <w:pPr>
      <w:spacing w:after="0" w:line="240" w:lineRule="auto"/>
      <w:ind w:firstLine="340"/>
      <w:jc w:val="both"/>
    </w:pPr>
    <w:rPr>
      <w:rFonts w:ascii="Times New Roman" w:eastAsia="Calibri" w:hAnsi="Times New Roman" w:cs="Times New Roman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026"/>
    <w:rPr>
      <w:rFonts w:ascii="Times New Roman" w:eastAsia="Calibri" w:hAnsi="Times New Roman" w:cs="Times New Roman"/>
      <w:sz w:val="18"/>
      <w:szCs w:val="20"/>
    </w:rPr>
  </w:style>
  <w:style w:type="character" w:styleId="Odwoanieprzypisudolnego">
    <w:name w:val="footnote reference"/>
    <w:uiPriority w:val="99"/>
    <w:semiHidden/>
    <w:rsid w:val="001D2026"/>
    <w:rPr>
      <w:vertAlign w:val="superscript"/>
    </w:rPr>
  </w:style>
  <w:style w:type="character" w:styleId="Odwoaniedokomentarza">
    <w:name w:val="annotation reference"/>
    <w:uiPriority w:val="99"/>
    <w:semiHidden/>
    <w:rsid w:val="006266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266ED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6ED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6E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5F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5F4"/>
    <w:rPr>
      <w:rFonts w:ascii="Times New Roman" w:eastAsia="Calibri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1FE"/>
  </w:style>
  <w:style w:type="paragraph" w:styleId="Stopka">
    <w:name w:val="footer"/>
    <w:basedOn w:val="Normalny"/>
    <w:link w:val="StopkaZnak"/>
    <w:uiPriority w:val="99"/>
    <w:unhideWhenUsed/>
    <w:rsid w:val="00BB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7E96"/>
    <w:pPr>
      <w:spacing w:after="0" w:line="240" w:lineRule="auto"/>
    </w:pPr>
    <w:rPr>
      <w:lang w:val="en-US"/>
    </w:rPr>
  </w:style>
  <w:style w:type="paragraph" w:styleId="Akapitzlist">
    <w:name w:val="List Paragraph"/>
    <w:basedOn w:val="Normalny"/>
    <w:uiPriority w:val="34"/>
    <w:qFormat/>
    <w:rsid w:val="00264488"/>
    <w:pPr>
      <w:ind w:left="720"/>
      <w:contextualSpacing/>
    </w:pPr>
  </w:style>
  <w:style w:type="paragraph" w:customStyle="1" w:styleId="Nagwek1UE">
    <w:name w:val="Nagłówek 1. (UE)"/>
    <w:basedOn w:val="Normalny"/>
    <w:next w:val="Normalny"/>
    <w:qFormat/>
    <w:rsid w:val="00652D65"/>
    <w:pPr>
      <w:keepNext/>
      <w:keepLines/>
      <w:numPr>
        <w:numId w:val="2"/>
      </w:numPr>
      <w:suppressAutoHyphens/>
      <w:spacing w:before="720" w:after="260" w:line="240" w:lineRule="auto"/>
    </w:pPr>
    <w:rPr>
      <w:rFonts w:ascii="Times New Roman" w:eastAsia="Calibri" w:hAnsi="Times New Roman" w:cs="Times New Roman"/>
      <w:b/>
      <w:sz w:val="26"/>
    </w:rPr>
  </w:style>
  <w:style w:type="paragraph" w:customStyle="1" w:styleId="Nagwek11UE">
    <w:name w:val="Nagłówek 1.1. (UE)"/>
    <w:basedOn w:val="Nagwek1UE"/>
    <w:next w:val="Normalny"/>
    <w:link w:val="Nagwek11UEZnak"/>
    <w:qFormat/>
    <w:rsid w:val="00652D65"/>
    <w:pPr>
      <w:numPr>
        <w:ilvl w:val="1"/>
      </w:numPr>
      <w:spacing w:before="320" w:after="120"/>
    </w:pPr>
    <w:rPr>
      <w:sz w:val="22"/>
    </w:rPr>
  </w:style>
  <w:style w:type="character" w:customStyle="1" w:styleId="Nagwek11UEZnak">
    <w:name w:val="Nagłówek 1.1. (UE) Znak"/>
    <w:link w:val="Nagwek11UE"/>
    <w:rsid w:val="00652D65"/>
    <w:rPr>
      <w:rFonts w:ascii="Times New Roman" w:eastAsia="Calibri" w:hAnsi="Times New Roman" w:cs="Times New Roman"/>
      <w:b/>
    </w:rPr>
  </w:style>
  <w:style w:type="paragraph" w:customStyle="1" w:styleId="TekstpodstUE">
    <w:name w:val="Tekst podst. (UE)"/>
    <w:basedOn w:val="Normalny"/>
    <w:next w:val="TekstpodstwcityUE"/>
    <w:qFormat/>
    <w:rsid w:val="00652D65"/>
    <w:pPr>
      <w:spacing w:after="0" w:line="260" w:lineRule="atLeast"/>
      <w:jc w:val="both"/>
    </w:pPr>
    <w:rPr>
      <w:rFonts w:ascii="Times New Roman" w:eastAsia="Calibri" w:hAnsi="Times New Roman" w:cs="Times New Roman"/>
      <w:spacing w:val="-2"/>
    </w:rPr>
  </w:style>
  <w:style w:type="paragraph" w:customStyle="1" w:styleId="TekstpodstwcityUE">
    <w:name w:val="Tekst podst.::wcięty (UE)"/>
    <w:basedOn w:val="TekstpodstUE"/>
    <w:qFormat/>
    <w:rsid w:val="00652D65"/>
    <w:pPr>
      <w:spacing w:after="120"/>
      <w:ind w:firstLine="34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1D2026"/>
    <w:pPr>
      <w:spacing w:after="0" w:line="240" w:lineRule="auto"/>
      <w:ind w:firstLine="340"/>
      <w:jc w:val="both"/>
    </w:pPr>
    <w:rPr>
      <w:rFonts w:ascii="Times New Roman" w:eastAsia="Calibri" w:hAnsi="Times New Roman" w:cs="Times New Roman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026"/>
    <w:rPr>
      <w:rFonts w:ascii="Times New Roman" w:eastAsia="Calibri" w:hAnsi="Times New Roman" w:cs="Times New Roman"/>
      <w:sz w:val="18"/>
      <w:szCs w:val="20"/>
    </w:rPr>
  </w:style>
  <w:style w:type="character" w:styleId="Odwoanieprzypisudolnego">
    <w:name w:val="footnote reference"/>
    <w:uiPriority w:val="99"/>
    <w:semiHidden/>
    <w:rsid w:val="001D2026"/>
    <w:rPr>
      <w:vertAlign w:val="superscript"/>
    </w:rPr>
  </w:style>
  <w:style w:type="character" w:styleId="Odwoaniedokomentarza">
    <w:name w:val="annotation reference"/>
    <w:uiPriority w:val="99"/>
    <w:semiHidden/>
    <w:rsid w:val="006266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266ED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6ED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6E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5F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5F4"/>
    <w:rPr>
      <w:rFonts w:ascii="Times New Roman" w:eastAsia="Calibri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1FE"/>
  </w:style>
  <w:style w:type="paragraph" w:styleId="Stopka">
    <w:name w:val="footer"/>
    <w:basedOn w:val="Normalny"/>
    <w:link w:val="StopkaZnak"/>
    <w:uiPriority w:val="99"/>
    <w:unhideWhenUsed/>
    <w:rsid w:val="00BB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DBE9-34A6-4E40-BF61-D616A028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2016-10-07T09:09:00Z</dcterms:created>
  <dcterms:modified xsi:type="dcterms:W3CDTF">2016-10-07T09:09:00Z</dcterms:modified>
</cp:coreProperties>
</file>